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F0D878" w14:textId="50894315" w:rsidR="00FC2B16" w:rsidRPr="00924445" w:rsidRDefault="000C2529" w:rsidP="00085C6E">
      <w:pPr>
        <w:pStyle w:val="Heading1"/>
        <w:pBdr>
          <w:bottom w:val="single" w:sz="18" w:space="1" w:color="FF0000"/>
        </w:pBdr>
        <w:spacing w:before="0"/>
      </w:pPr>
      <w:bookmarkStart w:id="0" w:name="_Toc221940777"/>
      <w:bookmarkStart w:id="1" w:name="_GoBack"/>
      <w:bookmarkEnd w:id="1"/>
      <w:r>
        <w:rPr>
          <w:rFonts w:ascii="Helvetica" w:eastAsiaTheme="minorHAnsi" w:hAnsi="Helvetica" w:cs="Helvetica"/>
          <w:noProof/>
          <w:sz w:val="24"/>
          <w:szCs w:val="24"/>
          <w:lang w:eastAsia="en-GB"/>
        </w:rPr>
        <w:drawing>
          <wp:inline distT="0" distB="0" distL="0" distR="0" wp14:anchorId="27C163FB" wp14:editId="02B2BAA5">
            <wp:extent cx="820688" cy="867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047" t="3919" r="32873" b="8881"/>
                    <a:stretch/>
                  </pic:blipFill>
                  <pic:spPr bwMode="auto">
                    <a:xfrm flipH="1">
                      <a:off x="0" y="0"/>
                      <a:ext cx="850468" cy="898885"/>
                    </a:xfrm>
                    <a:prstGeom prst="rect">
                      <a:avLst/>
                    </a:prstGeom>
                    <a:noFill/>
                    <a:ln>
                      <a:noFill/>
                    </a:ln>
                    <a:extLst>
                      <a:ext uri="{53640926-AAD7-44D8-BBD7-CCE9431645EC}">
                        <a14:shadowObscured xmlns:a14="http://schemas.microsoft.com/office/drawing/2010/main"/>
                      </a:ext>
                    </a:extLst>
                  </pic:spPr>
                </pic:pic>
              </a:graphicData>
            </a:graphic>
          </wp:inline>
        </w:drawing>
      </w:r>
      <w:r w:rsidR="005C2A91">
        <w:tab/>
      </w:r>
      <w:r w:rsidR="005C2A91">
        <w:tab/>
      </w:r>
      <w:r w:rsidR="005C2A91">
        <w:tab/>
      </w:r>
      <w:r w:rsidRPr="00085C6E">
        <w:rPr>
          <w:sz w:val="32"/>
          <w:szCs w:val="32"/>
        </w:rPr>
        <w:t>Spatial Futures</w:t>
      </w:r>
      <w:r w:rsidR="005C2A91">
        <w:tab/>
      </w:r>
      <w:r w:rsidR="005C2A91">
        <w:tab/>
      </w:r>
      <w:r w:rsidR="005C2A91">
        <w:tab/>
      </w:r>
      <w:r w:rsidR="005C2A91">
        <w:rPr>
          <w:rFonts w:ascii="Helvetica" w:eastAsiaTheme="minorHAnsi" w:hAnsi="Helvetica" w:cs="Helvetica"/>
          <w:noProof/>
          <w:sz w:val="24"/>
          <w:szCs w:val="24"/>
          <w:lang w:eastAsia="en-GB"/>
        </w:rPr>
        <w:drawing>
          <wp:inline distT="0" distB="0" distL="0" distR="0" wp14:anchorId="7801012B" wp14:editId="653666A3">
            <wp:extent cx="848382" cy="91049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4530" cy="949287"/>
                    </a:xfrm>
                    <a:prstGeom prst="rect">
                      <a:avLst/>
                    </a:prstGeom>
                    <a:noFill/>
                    <a:ln>
                      <a:noFill/>
                    </a:ln>
                  </pic:spPr>
                </pic:pic>
              </a:graphicData>
            </a:graphic>
          </wp:inline>
        </w:drawing>
      </w:r>
    </w:p>
    <w:bookmarkEnd w:id="0"/>
    <w:p w14:paraId="481800ED" w14:textId="7D264952" w:rsidR="007A1E14" w:rsidRDefault="007A1E14" w:rsidP="005C2A91">
      <w:pPr>
        <w:pStyle w:val="Heading1"/>
      </w:pPr>
      <w:r>
        <w:t>Introduction</w:t>
      </w:r>
    </w:p>
    <w:p w14:paraId="5BE862E1" w14:textId="355A74D3" w:rsidR="007A1E14" w:rsidRDefault="007A1E14" w:rsidP="009366AC">
      <w:r>
        <w:t>The need for – and the opportunity to introduce – a national spatial framework for England</w:t>
      </w:r>
      <w:r w:rsidR="00155623">
        <w:rPr>
          <w:rStyle w:val="FootnoteReference"/>
        </w:rPr>
        <w:footnoteReference w:id="1"/>
      </w:r>
      <w:r>
        <w:t xml:space="preserve"> has never been greater.</w:t>
      </w:r>
    </w:p>
    <w:p w14:paraId="5CE9419A" w14:textId="419F035A" w:rsidR="007A1E14" w:rsidRDefault="007A1E14" w:rsidP="009366AC">
      <w:r>
        <w:t xml:space="preserve">There are a wide range of reasons for this but this short note </w:t>
      </w:r>
      <w:r w:rsidR="00155623">
        <w:t xml:space="preserve">focusses on just </w:t>
      </w:r>
      <w:r w:rsidR="002E3879">
        <w:t>two</w:t>
      </w:r>
      <w:r w:rsidR="00155623">
        <w:t xml:space="preserve"> of them.  These are that, first, the current Government is undertaking initiatives that can only be improved by having a clearly expressed and mapped spatial basis and, second, that there exists an implicit spatial strategy already. </w:t>
      </w:r>
    </w:p>
    <w:p w14:paraId="37B151AD" w14:textId="30522B2A" w:rsidR="007A1E14" w:rsidRDefault="00155623" w:rsidP="00155623">
      <w:pPr>
        <w:pStyle w:val="Heading1"/>
      </w:pPr>
      <w:r>
        <w:t>Current Government initiatives</w:t>
      </w:r>
    </w:p>
    <w:p w14:paraId="18A61284" w14:textId="1B3BE10E" w:rsidR="00155623" w:rsidRDefault="00155623" w:rsidP="009366AC">
      <w:r>
        <w:t>The Government is currently engaged in at least three initiatives the value and impact of which will be significantly lessened if there are not set within the context of a clear understanding of the spatiality of their work.</w:t>
      </w:r>
    </w:p>
    <w:p w14:paraId="615CF88C" w14:textId="4D7BA0AE" w:rsidR="004752C1" w:rsidRDefault="004752C1" w:rsidP="009366AC">
      <w:r>
        <w:t>In addition, from the bottom up, important work on defining spatial policy on a larger than local basis is being done at city region level.  Others on the group are, however, better informed on these initiatives than I.</w:t>
      </w:r>
    </w:p>
    <w:p w14:paraId="67AAC8AD" w14:textId="70F7D2B6" w:rsidR="00155623" w:rsidRDefault="00155623" w:rsidP="00155623">
      <w:pPr>
        <w:pStyle w:val="Heading2"/>
      </w:pPr>
      <w:r>
        <w:t>Industrial Strategy</w:t>
      </w:r>
    </w:p>
    <w:p w14:paraId="752D3E40" w14:textId="03BDBB80" w:rsidR="007D5F95" w:rsidRDefault="002E3879" w:rsidP="009366AC">
      <w:r>
        <w:t>In July, t</w:t>
      </w:r>
      <w:r w:rsidR="00155623">
        <w:t xml:space="preserve">he </w:t>
      </w:r>
      <w:r w:rsidR="00173B7F">
        <w:t>new Prime Minister, Theresa May</w:t>
      </w:r>
      <w:r w:rsidR="0074190E">
        <w:t xml:space="preserve">, </w:t>
      </w:r>
      <w:r w:rsidR="007D5F95">
        <w:t xml:space="preserve">established a new Department, </w:t>
      </w:r>
      <w:r w:rsidR="007D5F95" w:rsidRPr="009366AC">
        <w:t>Business, Energy and Industrial Strategy</w:t>
      </w:r>
      <w:r w:rsidR="007D5F95">
        <w:t xml:space="preserve">, one of the tasks </w:t>
      </w:r>
      <w:r w:rsidR="00A5438E">
        <w:t>of</w:t>
      </w:r>
      <w:r w:rsidR="007D5F95">
        <w:t xml:space="preserve"> which is to prepare an industrial strategy.</w:t>
      </w:r>
    </w:p>
    <w:p w14:paraId="4D5F9B1C" w14:textId="07B4F6B8" w:rsidR="009366AC" w:rsidRDefault="002E3879" w:rsidP="004752C1">
      <w:pPr>
        <w:spacing w:after="0" w:afterAutospacing="0"/>
      </w:pPr>
      <w:r>
        <w:t>Being optimistic, i</w:t>
      </w:r>
      <w:r w:rsidR="007D5F95">
        <w:t xml:space="preserve">t appears that the need for this </w:t>
      </w:r>
      <w:r>
        <w:t xml:space="preserve">strategy </w:t>
      </w:r>
      <w:r w:rsidR="007D5F95">
        <w:t xml:space="preserve">to have a degree of spatial specificity has already been recognised. </w:t>
      </w:r>
      <w:r w:rsidR="00173B7F">
        <w:t xml:space="preserve"> </w:t>
      </w:r>
      <w:r w:rsidR="009366AC" w:rsidRPr="009366AC">
        <w:t>Greg Clark, Secretary of State for</w:t>
      </w:r>
      <w:r w:rsidR="007D5F95" w:rsidRPr="007D5F95">
        <w:t xml:space="preserve"> </w:t>
      </w:r>
      <w:r w:rsidR="007D5F95" w:rsidRPr="009366AC">
        <w:t>Business, Energy and Industrial Strategy</w:t>
      </w:r>
      <w:r w:rsidR="007D5F95">
        <w:t xml:space="preserve"> has stated that</w:t>
      </w:r>
      <w:r w:rsidR="009366AC">
        <w:t>:</w:t>
      </w:r>
    </w:p>
    <w:p w14:paraId="43AC803E" w14:textId="5CA006C6" w:rsidR="009366AC" w:rsidRPr="007A1E14" w:rsidRDefault="009366AC" w:rsidP="004752C1">
      <w:pPr>
        <w:ind w:left="360"/>
        <w:rPr>
          <w:i/>
        </w:rPr>
      </w:pPr>
      <w:r w:rsidRPr="007A1E14">
        <w:rPr>
          <w:i/>
        </w:rPr>
        <w:t>In my view any successful industrial strategy has to be local. Governments are fond of quoting national figures – of economic growth, of productivity, of employment.</w:t>
      </w:r>
      <w:r w:rsidR="004752C1">
        <w:rPr>
          <w:i/>
        </w:rPr>
        <w:t xml:space="preserve">  </w:t>
      </w:r>
      <w:r w:rsidRPr="007A1E14">
        <w:rPr>
          <w:i/>
        </w:rPr>
        <w:t>But the truth is economic growth does not exist in the abstract. It happens in particular places when a business like yours is set up, or takes on more people, or expands its production. And the places in which you do business are a big part of determining how well you can do.</w:t>
      </w:r>
    </w:p>
    <w:p w14:paraId="21899D0C" w14:textId="2C21E8CF" w:rsidR="00931337" w:rsidRDefault="009366AC" w:rsidP="00C935DD">
      <w:pPr>
        <w:ind w:left="360"/>
        <w:rPr>
          <w:i/>
        </w:rPr>
      </w:pPr>
      <w:r w:rsidRPr="007A1E14">
        <w:rPr>
          <w:i/>
        </w:rPr>
        <w:t>And they’re very different places.</w:t>
      </w:r>
      <w:r w:rsidR="00A5438E">
        <w:rPr>
          <w:i/>
        </w:rPr>
        <w:t xml:space="preserve">  </w:t>
      </w:r>
      <w:r w:rsidRPr="007A1E14">
        <w:rPr>
          <w:i/>
        </w:rPr>
        <w:t xml:space="preserve">It’s obvious that South Kensington here has very different needs from Middlesbrough. </w:t>
      </w:r>
      <w:r w:rsidR="00C935DD">
        <w:rPr>
          <w:i/>
        </w:rPr>
        <w:t xml:space="preserve"> </w:t>
      </w:r>
      <w:r w:rsidRPr="007A1E14">
        <w:rPr>
          <w:i/>
        </w:rPr>
        <w:t xml:space="preserve">Yet for too long, government policy has treated every place as if they were identical. It seems to me that helping Cornwall make the </w:t>
      </w:r>
      <w:r w:rsidRPr="007A1E14">
        <w:rPr>
          <w:i/>
        </w:rPr>
        <w:lastRenderedPageBreak/>
        <w:t>best of its future is as vital to a comprehensive national success as helping Birmingham – but what is needed in each place is different, and our strategy must reflect that.</w:t>
      </w:r>
      <w:r w:rsidR="00931337">
        <w:rPr>
          <w:rStyle w:val="FootnoteReference"/>
          <w:i/>
        </w:rPr>
        <w:footnoteReference w:id="2"/>
      </w:r>
    </w:p>
    <w:p w14:paraId="5A6B6D6F" w14:textId="0CD61B99" w:rsidR="00C04C9B" w:rsidRPr="00C04C9B" w:rsidRDefault="00C04C9B" w:rsidP="00C04C9B">
      <w:r w:rsidRPr="00C04C9B">
        <w:t>If this does</w:t>
      </w:r>
      <w:r w:rsidR="004752C1">
        <w:t xml:space="preserve"> indeed</w:t>
      </w:r>
      <w:r w:rsidRPr="00C04C9B">
        <w:t xml:space="preserve"> show an awareness of the need for spatial differentiation, then there is the need to lobby Government swiftly on this point.</w:t>
      </w:r>
    </w:p>
    <w:p w14:paraId="4D68D62A" w14:textId="7FE3414E" w:rsidR="007D5F95" w:rsidRDefault="00A5438E" w:rsidP="00A5438E">
      <w:pPr>
        <w:pStyle w:val="Heading2"/>
      </w:pPr>
      <w:r>
        <w:t xml:space="preserve">National </w:t>
      </w:r>
      <w:r w:rsidR="007D5F95">
        <w:t>Infrastructure Commission</w:t>
      </w:r>
    </w:p>
    <w:p w14:paraId="49ECECB0" w14:textId="28907BC7" w:rsidR="007D5F95" w:rsidRDefault="00A5438E" w:rsidP="00A5438E">
      <w:pPr>
        <w:rPr>
          <w:rFonts w:eastAsiaTheme="minorHAnsi"/>
        </w:rPr>
      </w:pPr>
      <w:r>
        <w:rPr>
          <w:rFonts w:eastAsiaTheme="minorHAnsi"/>
        </w:rPr>
        <w:t>The National Infrastructure Commission</w:t>
      </w:r>
      <w:r>
        <w:rPr>
          <w:rStyle w:val="FootnoteReference"/>
          <w:rFonts w:eastAsiaTheme="minorHAnsi"/>
        </w:rPr>
        <w:footnoteReference w:id="3"/>
      </w:r>
      <w:r>
        <w:rPr>
          <w:rFonts w:eastAsiaTheme="minorHAnsi"/>
        </w:rPr>
        <w:t xml:space="preserve"> was established to look at the UK’s future needs for nationally significant infrastructure</w:t>
      </w:r>
      <w:r w:rsidR="00B215D4">
        <w:rPr>
          <w:rFonts w:eastAsiaTheme="minorHAnsi"/>
        </w:rPr>
        <w:t>.  As well as producing a number of reports already, the Commission is currently preparing its first National Infrastructure Assessment and, also, very relevantly, undertaking a study to maximise the potential of the Cambridge – Milton Keynes – Oxford Corridor.</w:t>
      </w:r>
    </w:p>
    <w:p w14:paraId="026E2B61" w14:textId="5782D1F9" w:rsidR="00B215D4" w:rsidRDefault="00B215D4" w:rsidP="00A5438E">
      <w:pPr>
        <w:rPr>
          <w:rFonts w:eastAsiaTheme="minorHAnsi"/>
        </w:rPr>
      </w:pPr>
      <w:r>
        <w:rPr>
          <w:rFonts w:eastAsiaTheme="minorHAnsi"/>
        </w:rPr>
        <w:t>The need to relate all the work of the Commission very clearly to a national spatial view is clear.</w:t>
      </w:r>
    </w:p>
    <w:p w14:paraId="5D1814CF" w14:textId="0BC87701" w:rsidR="00A5438E" w:rsidRDefault="00A5438E" w:rsidP="00A5438E">
      <w:pPr>
        <w:pStyle w:val="Heading2"/>
      </w:pPr>
      <w:r>
        <w:t>National Infrastructure - HS2 and London Airport Capacity</w:t>
      </w:r>
    </w:p>
    <w:p w14:paraId="4EAADC0B" w14:textId="3BD7D1FF" w:rsidR="00A5438E" w:rsidRDefault="00B215D4" w:rsidP="007D5F95">
      <w:r>
        <w:t>The Government is currently engaged in decision making processes in relation to the two most significant items of infrastructure that the country has dealt with for decades – HS2</w:t>
      </w:r>
      <w:r w:rsidR="004752C1">
        <w:rPr>
          <w:rStyle w:val="FootnoteReference"/>
        </w:rPr>
        <w:footnoteReference w:id="4"/>
      </w:r>
      <w:r>
        <w:t xml:space="preserve"> and increasing capacity at London’s airports</w:t>
      </w:r>
      <w:r w:rsidR="002227EF">
        <w:rPr>
          <w:rStyle w:val="FootnoteReference"/>
        </w:rPr>
        <w:footnoteReference w:id="5"/>
      </w:r>
      <w:r>
        <w:t>.</w:t>
      </w:r>
    </w:p>
    <w:p w14:paraId="45D62372" w14:textId="59CB5158" w:rsidR="00B215D4" w:rsidRDefault="00B215D4" w:rsidP="007D5F95">
      <w:r>
        <w:t xml:space="preserve">It is obvious that decisions on both of these must be related to their local spatial impact but there is an equal need to take these decisions within a clear understanding of the impacts that these will have on a much wider view of the spatial distribution </w:t>
      </w:r>
      <w:r w:rsidR="004752C1">
        <w:t>of economic growth, environmental quality and housing.  It is hard to see how this can be done adequately without a national spatial framework.</w:t>
      </w:r>
      <w:r>
        <w:t xml:space="preserve"> </w:t>
      </w:r>
    </w:p>
    <w:p w14:paraId="248A0F25" w14:textId="3A11E32F" w:rsidR="00A5438E" w:rsidRDefault="00A5438E" w:rsidP="00A5438E">
      <w:pPr>
        <w:pStyle w:val="Heading1"/>
      </w:pPr>
      <w:r>
        <w:t>An implicit spatial strategy</w:t>
      </w:r>
    </w:p>
    <w:p w14:paraId="33B4CC64" w14:textId="24CAA5B7" w:rsidR="00A5438E" w:rsidRDefault="00A5438E" w:rsidP="00C935DD">
      <w:pPr>
        <w:pStyle w:val="Heading2"/>
      </w:pPr>
      <w:r>
        <w:t>Existing spatial designations</w:t>
      </w:r>
    </w:p>
    <w:p w14:paraId="096FF623" w14:textId="0D40FAD9" w:rsidR="004752C1" w:rsidRDefault="002E3879" w:rsidP="007D5F95">
      <w:r>
        <w:t xml:space="preserve">Whilst the main planning policy document for England, the NPPF, is </w:t>
      </w:r>
      <w:proofErr w:type="spellStart"/>
      <w:r>
        <w:t>aspatial</w:t>
      </w:r>
      <w:proofErr w:type="spellEnd"/>
      <w:r>
        <w:t xml:space="preserve"> (even though it impacts differentially on different areas</w:t>
      </w:r>
      <w:r w:rsidR="004752C1">
        <w:rPr>
          <w:rStyle w:val="FootnoteReference"/>
        </w:rPr>
        <w:footnoteReference w:id="6"/>
      </w:r>
      <w:r>
        <w:t>) a wide range of current Government policies</w:t>
      </w:r>
      <w:r w:rsidR="004752C1">
        <w:t>, initiatives and designations are specifically tied to particular spatial areas.</w:t>
      </w:r>
    </w:p>
    <w:p w14:paraId="6F3A25D7" w14:textId="1746F39D" w:rsidR="00A5438E" w:rsidRDefault="00A5438E" w:rsidP="001B3128">
      <w:pPr>
        <w:spacing w:after="0" w:afterAutospacing="0"/>
      </w:pPr>
      <w:r>
        <w:lastRenderedPageBreak/>
        <w:t xml:space="preserve">This </w:t>
      </w:r>
      <w:r w:rsidR="00EE5741">
        <w:t>may</w:t>
      </w:r>
      <w:r>
        <w:t xml:space="preserve"> best be illustrated simply by listing some of those </w:t>
      </w:r>
      <w:r w:rsidR="002C3940">
        <w:t>which have spatial boundaries and which are already available in map form.</w:t>
      </w:r>
      <w:r w:rsidR="004752C1">
        <w:t xml:space="preserve">  This list is only the t</w:t>
      </w:r>
      <w:r w:rsidR="00931337">
        <w:t>ip of an iceberg:</w:t>
      </w:r>
    </w:p>
    <w:p w14:paraId="14E8C2DC" w14:textId="132D54AB" w:rsidR="00EE5741" w:rsidRDefault="00EE5741" w:rsidP="00931337">
      <w:pPr>
        <w:pStyle w:val="ListParagraph"/>
        <w:numPr>
          <w:ilvl w:val="0"/>
          <w:numId w:val="42"/>
        </w:numPr>
        <w:ind w:left="360"/>
      </w:pPr>
      <w:r>
        <w:t>Flood risk areas</w:t>
      </w:r>
      <w:r w:rsidR="00015442">
        <w:t xml:space="preserve"> </w:t>
      </w:r>
      <w:r w:rsidR="00015442" w:rsidRPr="00931337">
        <w:rPr>
          <w:sz w:val="13"/>
          <w:szCs w:val="13"/>
        </w:rPr>
        <w:t>(</w:t>
      </w:r>
      <w:hyperlink r:id="rId10" w:anchor="x=572987&amp;y=209175&amp;lg=1,&amp;scale=2)" w:history="1">
        <w:r w:rsidR="002227EF" w:rsidRPr="00931337">
          <w:rPr>
            <w:rStyle w:val="Hyperlink"/>
            <w:sz w:val="13"/>
            <w:szCs w:val="13"/>
          </w:rPr>
          <w:t>http://maps.environment-agency.gov.uk/wiyby/wiybyController?topic=fwa&amp;layerGroups=default&amp;lang=_e&amp;ep=map&amp;scale=2&amp;x=534555.9375&amp;y=179542.08333333334#x=572987&amp;y=209175&amp;lg=1,&amp;scale=2)</w:t>
        </w:r>
      </w:hyperlink>
      <w:r w:rsidR="002227EF">
        <w:rPr>
          <w:sz w:val="16"/>
          <w:szCs w:val="16"/>
        </w:rPr>
        <w:t xml:space="preserve"> </w:t>
      </w:r>
    </w:p>
    <w:p w14:paraId="5956898A" w14:textId="0B1C5781" w:rsidR="00EE5741" w:rsidRPr="00931337" w:rsidRDefault="00EE5741" w:rsidP="00931337">
      <w:pPr>
        <w:pStyle w:val="ListParagraph"/>
        <w:numPr>
          <w:ilvl w:val="0"/>
          <w:numId w:val="42"/>
        </w:numPr>
        <w:ind w:left="360"/>
        <w:rPr>
          <w:sz w:val="13"/>
          <w:szCs w:val="13"/>
        </w:rPr>
      </w:pPr>
      <w:r>
        <w:t>Green Belts</w:t>
      </w:r>
      <w:r w:rsidR="007D0785">
        <w:t xml:space="preserve"> </w:t>
      </w:r>
      <w:r w:rsidR="007D0785" w:rsidRPr="00931337">
        <w:rPr>
          <w:sz w:val="13"/>
          <w:szCs w:val="13"/>
        </w:rPr>
        <w:t>(</w:t>
      </w:r>
      <w:hyperlink r:id="rId11" w:history="1">
        <w:r w:rsidR="002C2668" w:rsidRPr="009B2757">
          <w:rPr>
            <w:rStyle w:val="Hyperlink"/>
            <w:sz w:val="13"/>
            <w:szCs w:val="13"/>
          </w:rPr>
          <w:t>http://www.cpre.org.uk/what-we-do/housing-and-planning/green-belts</w:t>
        </w:r>
      </w:hyperlink>
      <w:r w:rsidR="002C2668">
        <w:rPr>
          <w:rStyle w:val="Hyperlink"/>
          <w:sz w:val="13"/>
          <w:szCs w:val="13"/>
        </w:rPr>
        <w:t xml:space="preserve"> </w:t>
      </w:r>
      <w:r w:rsidR="002227EF" w:rsidRPr="002C2668">
        <w:rPr>
          <w:sz w:val="13"/>
          <w:szCs w:val="13"/>
        </w:rPr>
        <w:t>)</w:t>
      </w:r>
      <w:r w:rsidR="002227EF" w:rsidRPr="00931337">
        <w:rPr>
          <w:sz w:val="13"/>
          <w:szCs w:val="13"/>
        </w:rPr>
        <w:t xml:space="preserve"> </w:t>
      </w:r>
    </w:p>
    <w:p w14:paraId="42EE8B0F" w14:textId="4FA14C60" w:rsidR="002C3940" w:rsidRPr="00931337" w:rsidRDefault="002C3940" w:rsidP="00931337">
      <w:pPr>
        <w:pStyle w:val="ListParagraph"/>
        <w:numPr>
          <w:ilvl w:val="0"/>
          <w:numId w:val="42"/>
        </w:numPr>
        <w:ind w:left="360"/>
        <w:rPr>
          <w:sz w:val="13"/>
          <w:szCs w:val="13"/>
        </w:rPr>
      </w:pPr>
      <w:r>
        <w:t>Housing Zones</w:t>
      </w:r>
      <w:r w:rsidR="000F4A25">
        <w:t xml:space="preserve"> </w:t>
      </w:r>
      <w:r w:rsidR="000F4A25" w:rsidRPr="00931337">
        <w:rPr>
          <w:sz w:val="13"/>
          <w:szCs w:val="13"/>
        </w:rPr>
        <w:t>(</w:t>
      </w:r>
      <w:hyperlink r:id="rId12" w:history="1">
        <w:r w:rsidR="002227EF" w:rsidRPr="00931337">
          <w:rPr>
            <w:rStyle w:val="Hyperlink"/>
            <w:sz w:val="13"/>
            <w:szCs w:val="13"/>
          </w:rPr>
          <w:t>https://www.google.com/maps/d/viewer?mid=1vrNX4wJw5bBiMRzFUpv54KsaKWA&amp;ll=52.88902459716784%2C-1.4105600999999979&amp;z=7)</w:t>
        </w:r>
      </w:hyperlink>
      <w:r w:rsidR="002227EF" w:rsidRPr="00931337">
        <w:rPr>
          <w:sz w:val="13"/>
          <w:szCs w:val="13"/>
        </w:rPr>
        <w:t xml:space="preserve"> </w:t>
      </w:r>
    </w:p>
    <w:p w14:paraId="7E7AA9B3" w14:textId="7E2C17D9" w:rsidR="002C3940" w:rsidRDefault="002C3940" w:rsidP="00931337">
      <w:pPr>
        <w:pStyle w:val="ListParagraph"/>
        <w:numPr>
          <w:ilvl w:val="0"/>
          <w:numId w:val="42"/>
        </w:numPr>
        <w:ind w:left="360"/>
      </w:pPr>
      <w:r>
        <w:t>Local Enterprise Partnerships</w:t>
      </w:r>
      <w:r w:rsidR="0056733D">
        <w:t xml:space="preserve"> and Enterprise Zones </w:t>
      </w:r>
      <w:r w:rsidR="0056733D" w:rsidRPr="00931337">
        <w:rPr>
          <w:sz w:val="13"/>
          <w:szCs w:val="13"/>
        </w:rPr>
        <w:t>(</w:t>
      </w:r>
      <w:hyperlink r:id="rId13" w:history="1">
        <w:r w:rsidR="002C2668" w:rsidRPr="009B2757">
          <w:rPr>
            <w:rStyle w:val="Hyperlink"/>
            <w:sz w:val="13"/>
            <w:szCs w:val="13"/>
          </w:rPr>
          <w:t>https://www.gov.uk/government/uploads/system/uploads/attachment_data/file/229400/121115_Enterprise_Zones_map.pdf</w:t>
        </w:r>
      </w:hyperlink>
      <w:r w:rsidR="002C2668">
        <w:rPr>
          <w:sz w:val="13"/>
          <w:szCs w:val="13"/>
        </w:rPr>
        <w:t xml:space="preserve"> </w:t>
      </w:r>
      <w:r w:rsidR="002227EF" w:rsidRPr="002C2668">
        <w:rPr>
          <w:sz w:val="13"/>
          <w:szCs w:val="13"/>
        </w:rPr>
        <w:t>)</w:t>
      </w:r>
      <w:r w:rsidR="002227EF">
        <w:rPr>
          <w:sz w:val="16"/>
          <w:szCs w:val="16"/>
        </w:rPr>
        <w:t xml:space="preserve"> </w:t>
      </w:r>
    </w:p>
    <w:p w14:paraId="09BB959F" w14:textId="5955B000" w:rsidR="00EE5741" w:rsidRDefault="00EE5741" w:rsidP="00931337">
      <w:pPr>
        <w:pStyle w:val="ListParagraph"/>
        <w:numPr>
          <w:ilvl w:val="0"/>
          <w:numId w:val="42"/>
        </w:numPr>
        <w:ind w:left="360"/>
      </w:pPr>
      <w:r>
        <w:t>Natura 2000 sites</w:t>
      </w:r>
      <w:r w:rsidR="002C2668">
        <w:rPr>
          <w:rStyle w:val="FootnoteReference"/>
        </w:rPr>
        <w:footnoteReference w:id="7"/>
      </w:r>
      <w:r w:rsidR="0090732B">
        <w:t xml:space="preserve"> </w:t>
      </w:r>
      <w:r w:rsidR="0090732B" w:rsidRPr="00931337">
        <w:rPr>
          <w:sz w:val="13"/>
          <w:szCs w:val="13"/>
        </w:rPr>
        <w:t>(</w:t>
      </w:r>
      <w:hyperlink r:id="rId14" w:history="1">
        <w:r w:rsidR="002C2668" w:rsidRPr="009B2757">
          <w:rPr>
            <w:rStyle w:val="Hyperlink"/>
            <w:sz w:val="13"/>
            <w:szCs w:val="13"/>
          </w:rPr>
          <w:t>http://www.eea.europa.eu/data-and-maps/figures/distribution-of-natura-2000-sites-across-eu-member-states-1</w:t>
        </w:r>
      </w:hyperlink>
      <w:r w:rsidR="002C2668">
        <w:rPr>
          <w:sz w:val="13"/>
          <w:szCs w:val="13"/>
        </w:rPr>
        <w:t xml:space="preserve"> </w:t>
      </w:r>
      <w:r w:rsidR="002227EF" w:rsidRPr="002C2668">
        <w:rPr>
          <w:sz w:val="13"/>
          <w:szCs w:val="13"/>
        </w:rPr>
        <w:t>)</w:t>
      </w:r>
      <w:r w:rsidR="002227EF">
        <w:rPr>
          <w:sz w:val="16"/>
          <w:szCs w:val="16"/>
        </w:rPr>
        <w:t xml:space="preserve"> </w:t>
      </w:r>
    </w:p>
    <w:p w14:paraId="5658AC6C" w14:textId="60B2EAB9" w:rsidR="00EE5741" w:rsidRDefault="00EE5741" w:rsidP="00931337">
      <w:pPr>
        <w:pStyle w:val="ListParagraph"/>
        <w:numPr>
          <w:ilvl w:val="0"/>
          <w:numId w:val="42"/>
        </w:numPr>
        <w:ind w:left="360"/>
      </w:pPr>
      <w:proofErr w:type="spellStart"/>
      <w:r>
        <w:t>Trans European</w:t>
      </w:r>
      <w:proofErr w:type="spellEnd"/>
      <w:r>
        <w:t xml:space="preserve"> Networks</w:t>
      </w:r>
      <w:r w:rsidR="00044133">
        <w:t xml:space="preserve"> </w:t>
      </w:r>
      <w:r w:rsidR="00044133" w:rsidRPr="00931337">
        <w:rPr>
          <w:sz w:val="13"/>
          <w:szCs w:val="13"/>
        </w:rPr>
        <w:t>(</w:t>
      </w:r>
      <w:hyperlink r:id="rId15" w:history="1">
        <w:r w:rsidR="002C2668" w:rsidRPr="009B2757">
          <w:rPr>
            <w:rStyle w:val="Hyperlink"/>
            <w:sz w:val="13"/>
            <w:szCs w:val="13"/>
          </w:rPr>
          <w:t>http://ec.europa.eu/transport/infrastructure/tentec/tentec-portal/site/maps_upload/corridors_png/C8_northsea_med.pdf</w:t>
        </w:r>
      </w:hyperlink>
      <w:r w:rsidR="002C2668">
        <w:rPr>
          <w:sz w:val="13"/>
          <w:szCs w:val="13"/>
        </w:rPr>
        <w:t xml:space="preserve"> </w:t>
      </w:r>
      <w:r w:rsidR="002227EF" w:rsidRPr="002C2668">
        <w:rPr>
          <w:sz w:val="13"/>
          <w:szCs w:val="13"/>
        </w:rPr>
        <w:t>)</w:t>
      </w:r>
      <w:r w:rsidR="002227EF">
        <w:rPr>
          <w:sz w:val="16"/>
          <w:szCs w:val="16"/>
        </w:rPr>
        <w:t xml:space="preserve"> </w:t>
      </w:r>
    </w:p>
    <w:p w14:paraId="52D6C514" w14:textId="713D0FC7" w:rsidR="002C3940" w:rsidRPr="00931337" w:rsidRDefault="00EE5741" w:rsidP="00931337">
      <w:pPr>
        <w:pStyle w:val="ListParagraph"/>
        <w:numPr>
          <w:ilvl w:val="0"/>
          <w:numId w:val="42"/>
        </w:numPr>
        <w:ind w:left="360"/>
      </w:pPr>
      <w:r>
        <w:t>W</w:t>
      </w:r>
      <w:r w:rsidR="002C3940">
        <w:t xml:space="preserve">ater stress </w:t>
      </w:r>
      <w:r>
        <w:t>areas</w:t>
      </w:r>
      <w:r w:rsidR="002C3940">
        <w:t xml:space="preserve"> </w:t>
      </w:r>
      <w:r w:rsidR="00C935DD" w:rsidRPr="00931337">
        <w:rPr>
          <w:sz w:val="13"/>
          <w:szCs w:val="13"/>
        </w:rPr>
        <w:t>(</w:t>
      </w:r>
      <w:hyperlink r:id="rId16" w:history="1">
        <w:r w:rsidR="002227EF" w:rsidRPr="00931337">
          <w:rPr>
            <w:rStyle w:val="Hyperlink"/>
            <w:sz w:val="13"/>
            <w:szCs w:val="13"/>
          </w:rPr>
          <w:t>https://www.theguardian.com/graphic/0,,2002043,00.html)</w:t>
        </w:r>
      </w:hyperlink>
      <w:r w:rsidR="002227EF">
        <w:rPr>
          <w:sz w:val="16"/>
          <w:szCs w:val="16"/>
        </w:rPr>
        <w:t xml:space="preserve"> </w:t>
      </w:r>
    </w:p>
    <w:p w14:paraId="20B4D754" w14:textId="30AA3924" w:rsidR="00931337" w:rsidRDefault="00931337" w:rsidP="00931337">
      <w:r>
        <w:t>The final page of this note contains some of these maps.</w:t>
      </w:r>
      <w:r w:rsidR="000F7363">
        <w:t xml:space="preserve">  One key – and potentially straightforward – purpose of a national spatial framework would be to put such maps together both to gain a greater understanding of the interrelationships and of the conflicts.</w:t>
      </w:r>
    </w:p>
    <w:p w14:paraId="0BC7B582" w14:textId="0FC8BCD2" w:rsidR="00A5438E" w:rsidRDefault="00A5438E" w:rsidP="004752C1">
      <w:pPr>
        <w:pStyle w:val="Heading2"/>
      </w:pPr>
      <w:r>
        <w:t>Spatially differentiated policy</w:t>
      </w:r>
    </w:p>
    <w:p w14:paraId="078AE5E4" w14:textId="414B791F" w:rsidR="00A5438E" w:rsidRDefault="002E3879" w:rsidP="007D5F95">
      <w:r>
        <w:t xml:space="preserve">There are some cases where </w:t>
      </w:r>
      <w:r w:rsidR="00A5438E">
        <w:t xml:space="preserve">Government policy is not </w:t>
      </w:r>
      <w:r>
        <w:t xml:space="preserve">readily transferrable to </w:t>
      </w:r>
      <w:r w:rsidR="00A5438E">
        <w:t>a map base but which has an identifiable differential effect on different parts of the country</w:t>
      </w:r>
      <w:r>
        <w:t xml:space="preserve">.  One of the clearest </w:t>
      </w:r>
      <w:r w:rsidR="00C04C9B">
        <w:t>examples of this</w:t>
      </w:r>
      <w:r>
        <w:t xml:space="preserve"> </w:t>
      </w:r>
      <w:r w:rsidR="00C04C9B">
        <w:t>is the difference in Government spending per head by region.  The diagram below shows this over time but this can also be shown for relevant elements of spending such as transport, housing or environmental services.</w:t>
      </w:r>
    </w:p>
    <w:p w14:paraId="4E6B3981" w14:textId="777FA524" w:rsidR="00721B40" w:rsidRDefault="00756EFB" w:rsidP="00931337">
      <w:pPr>
        <w:rPr>
          <w:lang w:eastAsia="en-GB"/>
        </w:rPr>
      </w:pPr>
      <w:r>
        <w:rPr>
          <w:noProof/>
          <w:lang w:eastAsia="en-GB"/>
        </w:rPr>
        <w:drawing>
          <wp:anchor distT="0" distB="0" distL="114300" distR="114300" simplePos="0" relativeHeight="251658240" behindDoc="0" locked="0" layoutInCell="1" allowOverlap="1" wp14:anchorId="0D5EF724" wp14:editId="4DDE0C86">
            <wp:simplePos x="0" y="0"/>
            <wp:positionH relativeFrom="column">
              <wp:posOffset>0</wp:posOffset>
            </wp:positionH>
            <wp:positionV relativeFrom="paragraph">
              <wp:posOffset>0</wp:posOffset>
            </wp:positionV>
            <wp:extent cx="3366135" cy="2057400"/>
            <wp:effectExtent l="0" t="0" r="12065" b="0"/>
            <wp:wrapTight wrapText="bothSides">
              <wp:wrapPolygon edited="0">
                <wp:start x="0" y="0"/>
                <wp:lineTo x="0" y="21333"/>
                <wp:lineTo x="21514" y="21333"/>
                <wp:lineTo x="21514"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76EF4C9D" w14:textId="337230EF" w:rsidR="0027024E" w:rsidRDefault="00931337" w:rsidP="00931337">
      <w:pPr>
        <w:rPr>
          <w:lang w:eastAsia="en-GB"/>
        </w:rPr>
      </w:pPr>
      <w:r>
        <w:rPr>
          <w:lang w:eastAsia="en-GB"/>
        </w:rPr>
        <w:t>This analysis could equally be applied to spending on higher education and many other spending</w:t>
      </w:r>
      <w:r w:rsidR="0027024E">
        <w:rPr>
          <w:lang w:eastAsia="en-GB"/>
        </w:rPr>
        <w:t xml:space="preserve"> heads.</w:t>
      </w:r>
    </w:p>
    <w:p w14:paraId="5A934F03" w14:textId="77777777" w:rsidR="000F7363" w:rsidRDefault="000F7363" w:rsidP="002C2668">
      <w:pPr>
        <w:pStyle w:val="Heading1"/>
        <w:rPr>
          <w:lang w:eastAsia="en-GB"/>
        </w:rPr>
      </w:pPr>
    </w:p>
    <w:p w14:paraId="604B1A3A" w14:textId="77777777" w:rsidR="000F7363" w:rsidRDefault="000F7363" w:rsidP="002C2668">
      <w:pPr>
        <w:pStyle w:val="Heading1"/>
        <w:rPr>
          <w:lang w:eastAsia="en-GB"/>
        </w:rPr>
      </w:pPr>
    </w:p>
    <w:p w14:paraId="774E246F" w14:textId="0BD8B7BB" w:rsidR="002C2668" w:rsidRDefault="002C2668" w:rsidP="002C2668">
      <w:pPr>
        <w:pStyle w:val="Heading1"/>
        <w:rPr>
          <w:lang w:eastAsia="en-GB"/>
        </w:rPr>
      </w:pPr>
      <w:r>
        <w:rPr>
          <w:lang w:eastAsia="en-GB"/>
        </w:rPr>
        <w:t>Conclusion</w:t>
      </w:r>
    </w:p>
    <w:p w14:paraId="0950E10B" w14:textId="140D28B9" w:rsidR="002C2668" w:rsidRDefault="002C2668" w:rsidP="00931337">
      <w:pPr>
        <w:rPr>
          <w:lang w:eastAsia="en-GB"/>
        </w:rPr>
      </w:pPr>
      <w:r>
        <w:rPr>
          <w:lang w:eastAsia="en-GB"/>
        </w:rPr>
        <w:t>This note just scratches the surface of the myriad reasons why a national spatial framework is needed and the benefits that would accrue from having one.</w:t>
      </w:r>
    </w:p>
    <w:p w14:paraId="022D0A7C" w14:textId="02ED6AE3" w:rsidR="001B3128" w:rsidRDefault="001B3128" w:rsidP="00931337">
      <w:pPr>
        <w:rPr>
          <w:lang w:eastAsia="en-GB"/>
        </w:rPr>
      </w:pPr>
      <w:r>
        <w:rPr>
          <w:lang w:eastAsia="en-GB"/>
        </w:rPr>
        <w:t>Kelvin MacDonald</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t xml:space="preserve">        11 November 2016</w:t>
      </w:r>
    </w:p>
    <w:p w14:paraId="33DD8353" w14:textId="77777777" w:rsidR="0027024E" w:rsidRDefault="0027024E" w:rsidP="0027024E">
      <w:pPr>
        <w:spacing w:after="0" w:afterAutospacing="0"/>
      </w:pPr>
      <w:r w:rsidRPr="00233A42">
        <w:rPr>
          <w:noProof/>
          <w:lang w:eastAsia="en-GB"/>
        </w:rPr>
        <w:lastRenderedPageBreak/>
        <w:drawing>
          <wp:inline distT="0" distB="0" distL="0" distR="0" wp14:anchorId="5403CC63" wp14:editId="6E703366">
            <wp:extent cx="2063062" cy="29870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3768" cy="3074934"/>
                    </a:xfrm>
                    <a:prstGeom prst="rect">
                      <a:avLst/>
                    </a:prstGeom>
                  </pic:spPr>
                </pic:pic>
              </a:graphicData>
            </a:graphic>
          </wp:inline>
        </w:drawing>
      </w:r>
      <w:r w:rsidRPr="007E2058">
        <w:rPr>
          <w:noProof/>
          <w:lang w:eastAsia="en-GB"/>
        </w:rPr>
        <w:drawing>
          <wp:inline distT="0" distB="0" distL="0" distR="0" wp14:anchorId="07D9FA60" wp14:editId="1ED15BFA">
            <wp:extent cx="3648633" cy="2764790"/>
            <wp:effectExtent l="0" t="0" r="952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45476" cy="2838174"/>
                    </a:xfrm>
                    <a:prstGeom prst="rect">
                      <a:avLst/>
                    </a:prstGeom>
                  </pic:spPr>
                </pic:pic>
              </a:graphicData>
            </a:graphic>
          </wp:inline>
        </w:drawing>
      </w:r>
      <w:r w:rsidRPr="00AE78B0">
        <w:rPr>
          <w:noProof/>
          <w:lang w:eastAsia="en-GB"/>
        </w:rPr>
        <w:drawing>
          <wp:inline distT="0" distB="0" distL="0" distR="0" wp14:anchorId="16FDD598" wp14:editId="334C0657">
            <wp:extent cx="2068662" cy="299371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9597" cy="3081899"/>
                    </a:xfrm>
                    <a:prstGeom prst="rect">
                      <a:avLst/>
                    </a:prstGeom>
                  </pic:spPr>
                </pic:pic>
              </a:graphicData>
            </a:graphic>
          </wp:inline>
        </w:drawing>
      </w:r>
      <w:r w:rsidRPr="00AE78B0">
        <w:rPr>
          <w:noProof/>
          <w:lang w:eastAsia="en-GB"/>
        </w:rPr>
        <w:drawing>
          <wp:inline distT="0" distB="0" distL="0" distR="0" wp14:anchorId="1BADF694" wp14:editId="5672086A">
            <wp:extent cx="3625808" cy="239014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cstate="print"/>
                    <a:srcRect/>
                    <a:stretch>
                      <a:fillRect/>
                    </a:stretch>
                  </pic:blipFill>
                  <pic:spPr bwMode="auto">
                    <a:xfrm>
                      <a:off x="0" y="0"/>
                      <a:ext cx="3905028" cy="2574202"/>
                    </a:xfrm>
                    <a:prstGeom prst="rect">
                      <a:avLst/>
                    </a:prstGeom>
                    <a:noFill/>
                    <a:ln w="9525">
                      <a:noFill/>
                      <a:miter lim="800000"/>
                      <a:headEnd/>
                      <a:tailEnd/>
                    </a:ln>
                  </pic:spPr>
                </pic:pic>
              </a:graphicData>
            </a:graphic>
          </wp:inline>
        </w:drawing>
      </w:r>
    </w:p>
    <w:p w14:paraId="631EE633" w14:textId="1B5A60EE" w:rsidR="00931337" w:rsidRPr="00931337" w:rsidRDefault="0027024E" w:rsidP="00931337">
      <w:pPr>
        <w:rPr>
          <w:lang w:eastAsia="en-GB"/>
        </w:rPr>
      </w:pPr>
      <w:r>
        <w:rPr>
          <w:rFonts w:ascii="Helvetica" w:eastAsiaTheme="minorHAnsi" w:hAnsi="Helvetica" w:cs="Helvetica"/>
          <w:noProof/>
          <w:sz w:val="24"/>
          <w:szCs w:val="24"/>
          <w:lang w:eastAsia="en-GB"/>
        </w:rPr>
        <w:drawing>
          <wp:inline distT="0" distB="0" distL="0" distR="0" wp14:anchorId="40AEE9D3" wp14:editId="66AB8400">
            <wp:extent cx="2337435" cy="270880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5620"/>
                    <a:stretch/>
                  </pic:blipFill>
                  <pic:spPr bwMode="auto">
                    <a:xfrm>
                      <a:off x="0" y="0"/>
                      <a:ext cx="2355925" cy="2730233"/>
                    </a:xfrm>
                    <a:prstGeom prst="rect">
                      <a:avLst/>
                    </a:prstGeom>
                    <a:noFill/>
                    <a:ln>
                      <a:noFill/>
                    </a:ln>
                    <a:extLst>
                      <a:ext uri="{53640926-AAD7-44D8-BBD7-CCE9431645EC}">
                        <a14:shadowObscured xmlns:a14="http://schemas.microsoft.com/office/drawing/2010/main"/>
                      </a:ext>
                    </a:extLst>
                  </pic:spPr>
                </pic:pic>
              </a:graphicData>
            </a:graphic>
          </wp:inline>
        </w:drawing>
      </w:r>
      <w:r w:rsidR="001B3128" w:rsidRPr="001B3128">
        <w:rPr>
          <w:noProof/>
          <w:lang w:eastAsia="en-GB"/>
        </w:rPr>
        <w:drawing>
          <wp:inline distT="0" distB="0" distL="0" distR="0" wp14:anchorId="75455D1B" wp14:editId="335E1EC7">
            <wp:extent cx="1886580" cy="266224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6325" cy="2690103"/>
                    </a:xfrm>
                    <a:prstGeom prst="rect">
                      <a:avLst/>
                    </a:prstGeom>
                  </pic:spPr>
                </pic:pic>
              </a:graphicData>
            </a:graphic>
          </wp:inline>
        </w:drawing>
      </w:r>
    </w:p>
    <w:sectPr w:rsidR="00931337" w:rsidRPr="00931337" w:rsidSect="00E40BD7">
      <w:footerReference w:type="default" r:id="rId24"/>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9341B" w14:textId="77777777" w:rsidR="00DA141F" w:rsidRDefault="00DA141F" w:rsidP="00656A63">
      <w:pPr>
        <w:pStyle w:val="Heading1"/>
      </w:pPr>
      <w:r>
        <w:t>References</w:t>
      </w:r>
    </w:p>
  </w:endnote>
  <w:endnote w:type="continuationSeparator" w:id="0">
    <w:p w14:paraId="7118DC38" w14:textId="77777777" w:rsidR="00DA141F" w:rsidRDefault="00DA141F" w:rsidP="00656A63">
      <w:pPr>
        <w:pStyle w:val="Heading2"/>
      </w:pPr>
      <w:r>
        <w:t>References (cont.)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00000000" w:usb2="00000000" w:usb3="00000000" w:csb0="000101FF" w:csb1="00000000"/>
  </w:font>
  <w:font w:name="Consolas">
    <w:panose1 w:val="020B0609020204030204"/>
    <w:charset w:val="00"/>
    <w:family w:val="modern"/>
    <w:pitch w:val="fixed"/>
    <w:sig w:usb0="E00006FF" w:usb1="0000FCFF" w:usb2="00000001"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EC67B" w14:textId="63B21036" w:rsidR="004E6BA3" w:rsidRPr="00B91845" w:rsidRDefault="004E6BA3" w:rsidP="00B91845">
    <w:pPr>
      <w:pStyle w:val="Footer"/>
      <w:pBdr>
        <w:top w:val="single" w:sz="12" w:space="1" w:color="365F91" w:themeColor="accent1" w:themeShade="BF"/>
      </w:pBdr>
      <w:jc w:val="right"/>
      <w:rPr>
        <w:b/>
        <w:color w:val="7F7F7F" w:themeColor="text1" w:themeTint="80"/>
        <w:sz w:val="48"/>
        <w:szCs w:val="48"/>
      </w:rPr>
    </w:pPr>
    <w:r w:rsidRPr="00B91845">
      <w:rPr>
        <w:b/>
        <w:color w:val="7F7F7F" w:themeColor="text1" w:themeTint="80"/>
        <w:sz w:val="48"/>
        <w:szCs w:val="48"/>
      </w:rPr>
      <w:fldChar w:fldCharType="begin"/>
    </w:r>
    <w:r w:rsidRPr="00B91845">
      <w:rPr>
        <w:b/>
        <w:color w:val="7F7F7F" w:themeColor="text1" w:themeTint="80"/>
        <w:sz w:val="48"/>
        <w:szCs w:val="48"/>
      </w:rPr>
      <w:instrText xml:space="preserve"> PAGE   \* MERGEFORMAT </w:instrText>
    </w:r>
    <w:r w:rsidRPr="00B91845">
      <w:rPr>
        <w:b/>
        <w:color w:val="7F7F7F" w:themeColor="text1" w:themeTint="80"/>
        <w:sz w:val="48"/>
        <w:szCs w:val="48"/>
      </w:rPr>
      <w:fldChar w:fldCharType="separate"/>
    </w:r>
    <w:r w:rsidR="00183D33">
      <w:rPr>
        <w:b/>
        <w:noProof/>
        <w:color w:val="7F7F7F" w:themeColor="text1" w:themeTint="80"/>
        <w:sz w:val="48"/>
        <w:szCs w:val="48"/>
      </w:rPr>
      <w:t>4</w:t>
    </w:r>
    <w:r w:rsidRPr="00B91845">
      <w:rPr>
        <w:b/>
        <w:noProof/>
        <w:color w:val="7F7F7F" w:themeColor="text1" w:themeTint="80"/>
        <w:sz w:val="48"/>
        <w:szCs w:val="4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9A613" w14:textId="77777777" w:rsidR="00DA141F" w:rsidRPr="0027024E" w:rsidRDefault="00DA141F" w:rsidP="00B91845">
      <w:pPr>
        <w:spacing w:after="0" w:afterAutospacing="0" w:line="240" w:lineRule="auto"/>
        <w:rPr>
          <w:b/>
          <w:i/>
        </w:rPr>
      </w:pPr>
      <w:r w:rsidRPr="0027024E">
        <w:rPr>
          <w:b/>
          <w:i/>
          <w:color w:val="548DD4" w:themeColor="text2" w:themeTint="99"/>
        </w:rPr>
        <w:t>Notes and References</w:t>
      </w:r>
    </w:p>
  </w:footnote>
  <w:footnote w:type="continuationSeparator" w:id="0">
    <w:p w14:paraId="22C2F076" w14:textId="77777777" w:rsidR="00DA141F" w:rsidRDefault="00DA141F" w:rsidP="00B91845">
      <w:pPr>
        <w:spacing w:after="0" w:afterAutospacing="0" w:line="240" w:lineRule="auto"/>
      </w:pPr>
    </w:p>
  </w:footnote>
  <w:footnote w:id="1">
    <w:p w14:paraId="6A4087CF" w14:textId="252D7FD0" w:rsidR="00155623" w:rsidRPr="004752C1" w:rsidRDefault="00155623" w:rsidP="004752C1">
      <w:pPr>
        <w:pStyle w:val="FootnoteText"/>
        <w:spacing w:afterAutospacing="0"/>
        <w:ind w:left="360" w:hanging="360"/>
        <w:rPr>
          <w:sz w:val="16"/>
          <w:szCs w:val="16"/>
        </w:rPr>
      </w:pPr>
      <w:r w:rsidRPr="004752C1">
        <w:rPr>
          <w:rStyle w:val="FootnoteReference"/>
          <w:sz w:val="16"/>
          <w:szCs w:val="16"/>
        </w:rPr>
        <w:footnoteRef/>
      </w:r>
      <w:r w:rsidRPr="004752C1">
        <w:rPr>
          <w:sz w:val="16"/>
          <w:szCs w:val="16"/>
        </w:rPr>
        <w:t xml:space="preserve"> </w:t>
      </w:r>
      <w:r w:rsidRPr="004752C1">
        <w:rPr>
          <w:sz w:val="16"/>
          <w:szCs w:val="16"/>
        </w:rPr>
        <w:tab/>
        <w:t xml:space="preserve">This note only deals with England.  The case for a UK-wide spatial framework is even more </w:t>
      </w:r>
      <w:r w:rsidR="002E3879" w:rsidRPr="004752C1">
        <w:rPr>
          <w:sz w:val="16"/>
          <w:szCs w:val="16"/>
        </w:rPr>
        <w:t>evident and pressing</w:t>
      </w:r>
      <w:r w:rsidRPr="004752C1">
        <w:rPr>
          <w:sz w:val="16"/>
          <w:szCs w:val="16"/>
        </w:rPr>
        <w:t xml:space="preserve"> but a) Scotland, Wales and Northern Ireland already have spatial strategies and b) the English element of a UK spatial framework is a necessary first step.</w:t>
      </w:r>
    </w:p>
  </w:footnote>
  <w:footnote w:id="2">
    <w:p w14:paraId="30760410" w14:textId="426C196B" w:rsidR="00931337" w:rsidRPr="00931337" w:rsidRDefault="00931337" w:rsidP="00931337">
      <w:pPr>
        <w:pStyle w:val="FootnoteText"/>
        <w:spacing w:afterAutospacing="0"/>
        <w:ind w:left="360" w:hanging="360"/>
        <w:rPr>
          <w:sz w:val="16"/>
          <w:szCs w:val="16"/>
        </w:rPr>
      </w:pPr>
      <w:r w:rsidRPr="00931337">
        <w:rPr>
          <w:rStyle w:val="FootnoteReference"/>
          <w:sz w:val="16"/>
          <w:szCs w:val="16"/>
        </w:rPr>
        <w:footnoteRef/>
      </w:r>
      <w:r w:rsidRPr="00931337">
        <w:rPr>
          <w:sz w:val="16"/>
          <w:szCs w:val="16"/>
        </w:rPr>
        <w:t xml:space="preserve"> </w:t>
      </w:r>
      <w:r w:rsidRPr="00931337">
        <w:rPr>
          <w:sz w:val="16"/>
          <w:szCs w:val="16"/>
        </w:rPr>
        <w:tab/>
      </w:r>
      <w:hyperlink r:id="rId1" w:history="1">
        <w:r w:rsidRPr="00931337">
          <w:rPr>
            <w:rStyle w:val="Hyperlink"/>
            <w:sz w:val="16"/>
            <w:szCs w:val="16"/>
          </w:rPr>
          <w:t>https://www.gov.uk/government/speeches/the-importance-of-industrial-strategy</w:t>
        </w:r>
      </w:hyperlink>
    </w:p>
  </w:footnote>
  <w:footnote w:id="3">
    <w:p w14:paraId="56AF0C74" w14:textId="5B4727A1" w:rsidR="00A5438E" w:rsidRPr="002227EF" w:rsidRDefault="00A5438E" w:rsidP="002227EF">
      <w:pPr>
        <w:pStyle w:val="FootnoteText"/>
        <w:spacing w:afterAutospacing="0"/>
        <w:ind w:left="360" w:hanging="360"/>
        <w:rPr>
          <w:sz w:val="16"/>
          <w:szCs w:val="16"/>
        </w:rPr>
      </w:pPr>
      <w:r w:rsidRPr="002227EF">
        <w:rPr>
          <w:rStyle w:val="FootnoteReference"/>
          <w:sz w:val="16"/>
          <w:szCs w:val="16"/>
        </w:rPr>
        <w:footnoteRef/>
      </w:r>
      <w:r w:rsidRPr="002227EF">
        <w:rPr>
          <w:sz w:val="16"/>
          <w:szCs w:val="16"/>
        </w:rPr>
        <w:t xml:space="preserve"> </w:t>
      </w:r>
      <w:r w:rsidR="002227EF">
        <w:rPr>
          <w:sz w:val="16"/>
          <w:szCs w:val="16"/>
        </w:rPr>
        <w:tab/>
      </w:r>
      <w:hyperlink r:id="rId2" w:history="1">
        <w:r w:rsidR="00C04C9B" w:rsidRPr="002227EF">
          <w:rPr>
            <w:rStyle w:val="Hyperlink"/>
            <w:sz w:val="16"/>
            <w:szCs w:val="16"/>
          </w:rPr>
          <w:t>https://www.gov.uk/government/organisations/national-infrastructure-commission</w:t>
        </w:r>
      </w:hyperlink>
      <w:r w:rsidR="00C04C9B" w:rsidRPr="002227EF">
        <w:rPr>
          <w:sz w:val="16"/>
          <w:szCs w:val="16"/>
        </w:rPr>
        <w:t xml:space="preserve"> </w:t>
      </w:r>
    </w:p>
  </w:footnote>
  <w:footnote w:id="4">
    <w:p w14:paraId="0B192AD3" w14:textId="53C82F4B" w:rsidR="004752C1" w:rsidRPr="002227EF" w:rsidRDefault="004752C1" w:rsidP="002227EF">
      <w:pPr>
        <w:pStyle w:val="FootnoteText"/>
        <w:spacing w:afterAutospacing="0"/>
        <w:ind w:left="360" w:hanging="360"/>
        <w:rPr>
          <w:sz w:val="16"/>
          <w:szCs w:val="16"/>
        </w:rPr>
      </w:pPr>
      <w:r w:rsidRPr="002227EF">
        <w:rPr>
          <w:rStyle w:val="FootnoteReference"/>
          <w:sz w:val="16"/>
          <w:szCs w:val="16"/>
        </w:rPr>
        <w:footnoteRef/>
      </w:r>
      <w:r w:rsidRPr="002227EF">
        <w:rPr>
          <w:sz w:val="16"/>
          <w:szCs w:val="16"/>
        </w:rPr>
        <w:t xml:space="preserve"> </w:t>
      </w:r>
      <w:r w:rsidR="002227EF">
        <w:rPr>
          <w:sz w:val="16"/>
          <w:szCs w:val="16"/>
        </w:rPr>
        <w:tab/>
      </w:r>
      <w:r w:rsidRPr="002227EF">
        <w:rPr>
          <w:sz w:val="16"/>
          <w:szCs w:val="16"/>
        </w:rPr>
        <w:t>https://www.gov.uk/government/organisations/high-speed-two-limited</w:t>
      </w:r>
    </w:p>
  </w:footnote>
  <w:footnote w:id="5">
    <w:p w14:paraId="619FFA7A" w14:textId="41CB27FD" w:rsidR="002227EF" w:rsidRPr="002227EF" w:rsidRDefault="002227EF" w:rsidP="002227EF">
      <w:pPr>
        <w:pStyle w:val="FootnoteText"/>
        <w:spacing w:afterAutospacing="0"/>
        <w:ind w:left="360" w:hanging="360"/>
        <w:rPr>
          <w:sz w:val="16"/>
          <w:szCs w:val="16"/>
        </w:rPr>
      </w:pPr>
      <w:r w:rsidRPr="002227EF">
        <w:rPr>
          <w:rStyle w:val="FootnoteReference"/>
          <w:sz w:val="16"/>
          <w:szCs w:val="16"/>
        </w:rPr>
        <w:footnoteRef/>
      </w:r>
      <w:r w:rsidRPr="002227EF">
        <w:rPr>
          <w:sz w:val="16"/>
          <w:szCs w:val="16"/>
        </w:rPr>
        <w:t xml:space="preserve"> </w:t>
      </w:r>
      <w:r>
        <w:rPr>
          <w:sz w:val="16"/>
          <w:szCs w:val="16"/>
        </w:rPr>
        <w:tab/>
      </w:r>
      <w:r w:rsidRPr="002227EF">
        <w:rPr>
          <w:sz w:val="16"/>
          <w:szCs w:val="16"/>
        </w:rPr>
        <w:t>https://www.gov.uk/government/news/government-decides-on-new-runway-at-heathrow</w:t>
      </w:r>
    </w:p>
  </w:footnote>
  <w:footnote w:id="6">
    <w:p w14:paraId="4CFD52DA" w14:textId="29C9E349" w:rsidR="004752C1" w:rsidRPr="004752C1" w:rsidRDefault="004752C1" w:rsidP="004752C1">
      <w:pPr>
        <w:spacing w:after="0" w:afterAutospacing="0" w:line="240" w:lineRule="auto"/>
        <w:ind w:left="360" w:hanging="360"/>
        <w:rPr>
          <w:sz w:val="16"/>
          <w:szCs w:val="16"/>
          <w:lang w:eastAsia="en-GB"/>
        </w:rPr>
      </w:pPr>
      <w:r w:rsidRPr="004752C1">
        <w:rPr>
          <w:rStyle w:val="FootnoteReference"/>
          <w:sz w:val="16"/>
          <w:szCs w:val="16"/>
        </w:rPr>
        <w:footnoteRef/>
      </w:r>
      <w:r w:rsidRPr="004752C1">
        <w:rPr>
          <w:sz w:val="16"/>
          <w:szCs w:val="16"/>
        </w:rPr>
        <w:t xml:space="preserve"> </w:t>
      </w:r>
      <w:r w:rsidR="002227EF">
        <w:rPr>
          <w:sz w:val="16"/>
          <w:szCs w:val="16"/>
        </w:rPr>
        <w:tab/>
      </w:r>
      <w:r w:rsidRPr="004752C1">
        <w:rPr>
          <w:sz w:val="16"/>
          <w:szCs w:val="16"/>
        </w:rPr>
        <w:t>The House of Commons CLG Select Committee held an inquiry into the NPPF</w:t>
      </w:r>
      <w:r w:rsidRPr="004752C1">
        <w:rPr>
          <w:sz w:val="16"/>
          <w:szCs w:val="16"/>
          <w:lang w:eastAsia="en-GB"/>
        </w:rPr>
        <w:t xml:space="preserve"> and its report (</w:t>
      </w:r>
      <w:hyperlink r:id="rId3" w:history="1">
        <w:r w:rsidRPr="004752C1">
          <w:rPr>
            <w:color w:val="0000FF"/>
            <w:sz w:val="16"/>
            <w:szCs w:val="16"/>
            <w:u w:val="single"/>
          </w:rPr>
          <w:t>http://www.publications.parliament.uk/pa/cm201012/cmselect/cmcomloc/1526/1526.pdf</w:t>
        </w:r>
      </w:hyperlink>
      <w:r w:rsidRPr="004752C1">
        <w:rPr>
          <w:sz w:val="16"/>
          <w:szCs w:val="16"/>
          <w:lang w:eastAsia="en-GB"/>
        </w:rPr>
        <w:t>) found in relation to a spatial element to the NPPF that:</w:t>
      </w:r>
    </w:p>
    <w:p w14:paraId="2D60564E" w14:textId="77777777" w:rsidR="004752C1" w:rsidRPr="00931337" w:rsidRDefault="004752C1" w:rsidP="00931337">
      <w:pPr>
        <w:spacing w:after="0" w:afterAutospacing="0" w:line="240" w:lineRule="auto"/>
        <w:ind w:left="360"/>
        <w:rPr>
          <w:bCs/>
          <w:i/>
          <w:sz w:val="13"/>
          <w:szCs w:val="13"/>
          <w:lang w:eastAsia="en-GB"/>
        </w:rPr>
      </w:pPr>
      <w:r w:rsidRPr="00931337">
        <w:rPr>
          <w:bCs/>
          <w:i/>
          <w:sz w:val="13"/>
          <w:szCs w:val="13"/>
          <w:lang w:eastAsia="en-GB"/>
        </w:rPr>
        <w:t xml:space="preserve">There is evidence of concern that the draft NPPF is largely "placeless". While we recognise that it was never the intention of the Government to issue the draft NPPF as a ‘spatial’ plan, we consider that its impact and effectiveness would be improved if the possibility of differential impacts of its policies on different parts of the country were to be recognised in the Framework and that, where a local authority seeks to recognise local variations, the NPPF encourages local authorities to ensure that there is a robust evidence base in place to justify these variations, and thus, that it serves the Government’s stated intention to re-balance the national economy. </w:t>
      </w:r>
      <w:r w:rsidRPr="00931337">
        <w:rPr>
          <w:bCs/>
          <w:sz w:val="13"/>
          <w:szCs w:val="13"/>
          <w:lang w:eastAsia="en-GB"/>
        </w:rPr>
        <w:t>(para. 47.)</w:t>
      </w:r>
    </w:p>
    <w:p w14:paraId="63DBB165" w14:textId="77777777" w:rsidR="004752C1" w:rsidRDefault="004752C1" w:rsidP="004752C1">
      <w:pPr>
        <w:pStyle w:val="FootnoteText"/>
      </w:pPr>
    </w:p>
  </w:footnote>
  <w:footnote w:id="7">
    <w:p w14:paraId="474DDC6C" w14:textId="3CCF7656" w:rsidR="002C2668" w:rsidRPr="002C2668" w:rsidRDefault="002C2668" w:rsidP="002C2668">
      <w:pPr>
        <w:pStyle w:val="FootnoteText"/>
        <w:spacing w:afterAutospacing="0"/>
        <w:ind w:left="360" w:hanging="360"/>
        <w:rPr>
          <w:sz w:val="16"/>
          <w:szCs w:val="16"/>
        </w:rPr>
      </w:pPr>
      <w:r w:rsidRPr="002C2668">
        <w:rPr>
          <w:rStyle w:val="FootnoteReference"/>
          <w:sz w:val="16"/>
          <w:szCs w:val="16"/>
        </w:rPr>
        <w:footnoteRef/>
      </w:r>
      <w:r w:rsidRPr="002C2668">
        <w:rPr>
          <w:sz w:val="16"/>
          <w:szCs w:val="16"/>
        </w:rPr>
        <w:t xml:space="preserve"> </w:t>
      </w:r>
      <w:r w:rsidR="001B3128">
        <w:rPr>
          <w:sz w:val="16"/>
          <w:szCs w:val="16"/>
        </w:rPr>
        <w:tab/>
      </w:r>
      <w:r w:rsidRPr="002C2668">
        <w:rPr>
          <w:sz w:val="16"/>
          <w:szCs w:val="16"/>
        </w:rPr>
        <w:t>This does raise the whole question about the relationship between ‘Brexit’ and the increased need for a national spatial framework that this gives rise to – but again, others are better qualified than I on this.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0787"/>
    <w:multiLevelType w:val="hybridMultilevel"/>
    <w:tmpl w:val="E182F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80FA8"/>
    <w:multiLevelType w:val="hybridMultilevel"/>
    <w:tmpl w:val="8646A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45EE2"/>
    <w:multiLevelType w:val="hybridMultilevel"/>
    <w:tmpl w:val="BC86DE72"/>
    <w:lvl w:ilvl="0" w:tplc="08090001">
      <w:start w:val="1"/>
      <w:numFmt w:val="bullet"/>
      <w:lvlText w:val=""/>
      <w:lvlJc w:val="left"/>
      <w:pPr>
        <w:tabs>
          <w:tab w:val="num" w:pos="720"/>
        </w:tabs>
        <w:ind w:left="720" w:hanging="360"/>
      </w:pPr>
      <w:rPr>
        <w:rFonts w:ascii="Symbol" w:hAnsi="Symbol" w:hint="default"/>
      </w:rPr>
    </w:lvl>
    <w:lvl w:ilvl="1" w:tplc="83D4ED50">
      <w:start w:val="1"/>
      <w:numFmt w:val="bullet"/>
      <w:lvlText w:val="•"/>
      <w:lvlJc w:val="left"/>
      <w:pPr>
        <w:tabs>
          <w:tab w:val="num" w:pos="1440"/>
        </w:tabs>
        <w:ind w:left="1440" w:hanging="360"/>
      </w:pPr>
      <w:rPr>
        <w:rFonts w:ascii="Times New Roman" w:hAnsi="Times New Roman" w:hint="default"/>
      </w:rPr>
    </w:lvl>
    <w:lvl w:ilvl="2" w:tplc="C606702C" w:tentative="1">
      <w:start w:val="1"/>
      <w:numFmt w:val="bullet"/>
      <w:lvlText w:val="•"/>
      <w:lvlJc w:val="left"/>
      <w:pPr>
        <w:tabs>
          <w:tab w:val="num" w:pos="2160"/>
        </w:tabs>
        <w:ind w:left="2160" w:hanging="360"/>
      </w:pPr>
      <w:rPr>
        <w:rFonts w:ascii="Times New Roman" w:hAnsi="Times New Roman" w:hint="default"/>
      </w:rPr>
    </w:lvl>
    <w:lvl w:ilvl="3" w:tplc="C0EEFAF2" w:tentative="1">
      <w:start w:val="1"/>
      <w:numFmt w:val="bullet"/>
      <w:lvlText w:val="•"/>
      <w:lvlJc w:val="left"/>
      <w:pPr>
        <w:tabs>
          <w:tab w:val="num" w:pos="2880"/>
        </w:tabs>
        <w:ind w:left="2880" w:hanging="360"/>
      </w:pPr>
      <w:rPr>
        <w:rFonts w:ascii="Times New Roman" w:hAnsi="Times New Roman" w:hint="default"/>
      </w:rPr>
    </w:lvl>
    <w:lvl w:ilvl="4" w:tplc="9F88A2F2" w:tentative="1">
      <w:start w:val="1"/>
      <w:numFmt w:val="bullet"/>
      <w:lvlText w:val="•"/>
      <w:lvlJc w:val="left"/>
      <w:pPr>
        <w:tabs>
          <w:tab w:val="num" w:pos="3600"/>
        </w:tabs>
        <w:ind w:left="3600" w:hanging="360"/>
      </w:pPr>
      <w:rPr>
        <w:rFonts w:ascii="Times New Roman" w:hAnsi="Times New Roman" w:hint="default"/>
      </w:rPr>
    </w:lvl>
    <w:lvl w:ilvl="5" w:tplc="9E4C73CC" w:tentative="1">
      <w:start w:val="1"/>
      <w:numFmt w:val="bullet"/>
      <w:lvlText w:val="•"/>
      <w:lvlJc w:val="left"/>
      <w:pPr>
        <w:tabs>
          <w:tab w:val="num" w:pos="4320"/>
        </w:tabs>
        <w:ind w:left="4320" w:hanging="360"/>
      </w:pPr>
      <w:rPr>
        <w:rFonts w:ascii="Times New Roman" w:hAnsi="Times New Roman" w:hint="default"/>
      </w:rPr>
    </w:lvl>
    <w:lvl w:ilvl="6" w:tplc="D1681D54" w:tentative="1">
      <w:start w:val="1"/>
      <w:numFmt w:val="bullet"/>
      <w:lvlText w:val="•"/>
      <w:lvlJc w:val="left"/>
      <w:pPr>
        <w:tabs>
          <w:tab w:val="num" w:pos="5040"/>
        </w:tabs>
        <w:ind w:left="5040" w:hanging="360"/>
      </w:pPr>
      <w:rPr>
        <w:rFonts w:ascii="Times New Roman" w:hAnsi="Times New Roman" w:hint="default"/>
      </w:rPr>
    </w:lvl>
    <w:lvl w:ilvl="7" w:tplc="71FEBB24" w:tentative="1">
      <w:start w:val="1"/>
      <w:numFmt w:val="bullet"/>
      <w:lvlText w:val="•"/>
      <w:lvlJc w:val="left"/>
      <w:pPr>
        <w:tabs>
          <w:tab w:val="num" w:pos="5760"/>
        </w:tabs>
        <w:ind w:left="5760" w:hanging="360"/>
      </w:pPr>
      <w:rPr>
        <w:rFonts w:ascii="Times New Roman" w:hAnsi="Times New Roman" w:hint="default"/>
      </w:rPr>
    </w:lvl>
    <w:lvl w:ilvl="8" w:tplc="040C991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2BB7F51"/>
    <w:multiLevelType w:val="hybridMultilevel"/>
    <w:tmpl w:val="21D40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5E4A59"/>
    <w:multiLevelType w:val="hybridMultilevel"/>
    <w:tmpl w:val="435E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2C486A"/>
    <w:multiLevelType w:val="hybridMultilevel"/>
    <w:tmpl w:val="B762D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0567DB"/>
    <w:multiLevelType w:val="hybridMultilevel"/>
    <w:tmpl w:val="18445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900298"/>
    <w:multiLevelType w:val="hybridMultilevel"/>
    <w:tmpl w:val="3CB41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0073F0"/>
    <w:multiLevelType w:val="hybridMultilevel"/>
    <w:tmpl w:val="0446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6D1661"/>
    <w:multiLevelType w:val="hybridMultilevel"/>
    <w:tmpl w:val="8F123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801D7D"/>
    <w:multiLevelType w:val="hybridMultilevel"/>
    <w:tmpl w:val="FA30C5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BE737F"/>
    <w:multiLevelType w:val="hybridMultilevel"/>
    <w:tmpl w:val="1B529F6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A7219E7"/>
    <w:multiLevelType w:val="hybridMultilevel"/>
    <w:tmpl w:val="AF12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E0013C"/>
    <w:multiLevelType w:val="hybridMultilevel"/>
    <w:tmpl w:val="F3A23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E6F73"/>
    <w:multiLevelType w:val="multilevel"/>
    <w:tmpl w:val="B276E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7F1C76"/>
    <w:multiLevelType w:val="hybridMultilevel"/>
    <w:tmpl w:val="2F5AE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9D4EB3"/>
    <w:multiLevelType w:val="hybridMultilevel"/>
    <w:tmpl w:val="E9A88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F14B3"/>
    <w:multiLevelType w:val="hybridMultilevel"/>
    <w:tmpl w:val="9646803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2954867"/>
    <w:multiLevelType w:val="hybridMultilevel"/>
    <w:tmpl w:val="B34E4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D264D5"/>
    <w:multiLevelType w:val="hybridMultilevel"/>
    <w:tmpl w:val="1668E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627A68"/>
    <w:multiLevelType w:val="hybridMultilevel"/>
    <w:tmpl w:val="5AA858F6"/>
    <w:lvl w:ilvl="0" w:tplc="8190FBE8">
      <w:start w:val="1"/>
      <w:numFmt w:val="bullet"/>
      <w:lvlText w:val="•"/>
      <w:lvlJc w:val="left"/>
      <w:pPr>
        <w:tabs>
          <w:tab w:val="num" w:pos="1800"/>
        </w:tabs>
        <w:ind w:left="1800" w:hanging="360"/>
      </w:pPr>
      <w:rPr>
        <w:rFonts w:ascii="Times New Roman" w:hAnsi="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3B224CDF"/>
    <w:multiLevelType w:val="hybridMultilevel"/>
    <w:tmpl w:val="9824428C"/>
    <w:lvl w:ilvl="0" w:tplc="8190FBE8">
      <w:start w:val="1"/>
      <w:numFmt w:val="bullet"/>
      <w:lvlText w:val="•"/>
      <w:lvlJc w:val="left"/>
      <w:pPr>
        <w:tabs>
          <w:tab w:val="num" w:pos="720"/>
        </w:tabs>
        <w:ind w:left="720" w:hanging="360"/>
      </w:pPr>
      <w:rPr>
        <w:rFonts w:ascii="Times New Roman" w:hAnsi="Times New Roman" w:hint="default"/>
      </w:rPr>
    </w:lvl>
    <w:lvl w:ilvl="1" w:tplc="83D4ED50" w:tentative="1">
      <w:start w:val="1"/>
      <w:numFmt w:val="bullet"/>
      <w:lvlText w:val="•"/>
      <w:lvlJc w:val="left"/>
      <w:pPr>
        <w:tabs>
          <w:tab w:val="num" w:pos="1440"/>
        </w:tabs>
        <w:ind w:left="1440" w:hanging="360"/>
      </w:pPr>
      <w:rPr>
        <w:rFonts w:ascii="Times New Roman" w:hAnsi="Times New Roman" w:hint="default"/>
      </w:rPr>
    </w:lvl>
    <w:lvl w:ilvl="2" w:tplc="C606702C" w:tentative="1">
      <w:start w:val="1"/>
      <w:numFmt w:val="bullet"/>
      <w:lvlText w:val="•"/>
      <w:lvlJc w:val="left"/>
      <w:pPr>
        <w:tabs>
          <w:tab w:val="num" w:pos="2160"/>
        </w:tabs>
        <w:ind w:left="2160" w:hanging="360"/>
      </w:pPr>
      <w:rPr>
        <w:rFonts w:ascii="Times New Roman" w:hAnsi="Times New Roman" w:hint="default"/>
      </w:rPr>
    </w:lvl>
    <w:lvl w:ilvl="3" w:tplc="C0EEFAF2" w:tentative="1">
      <w:start w:val="1"/>
      <w:numFmt w:val="bullet"/>
      <w:lvlText w:val="•"/>
      <w:lvlJc w:val="left"/>
      <w:pPr>
        <w:tabs>
          <w:tab w:val="num" w:pos="2880"/>
        </w:tabs>
        <w:ind w:left="2880" w:hanging="360"/>
      </w:pPr>
      <w:rPr>
        <w:rFonts w:ascii="Times New Roman" w:hAnsi="Times New Roman" w:hint="default"/>
      </w:rPr>
    </w:lvl>
    <w:lvl w:ilvl="4" w:tplc="9F88A2F2" w:tentative="1">
      <w:start w:val="1"/>
      <w:numFmt w:val="bullet"/>
      <w:lvlText w:val="•"/>
      <w:lvlJc w:val="left"/>
      <w:pPr>
        <w:tabs>
          <w:tab w:val="num" w:pos="3600"/>
        </w:tabs>
        <w:ind w:left="3600" w:hanging="360"/>
      </w:pPr>
      <w:rPr>
        <w:rFonts w:ascii="Times New Roman" w:hAnsi="Times New Roman" w:hint="default"/>
      </w:rPr>
    </w:lvl>
    <w:lvl w:ilvl="5" w:tplc="9E4C73CC" w:tentative="1">
      <w:start w:val="1"/>
      <w:numFmt w:val="bullet"/>
      <w:lvlText w:val="•"/>
      <w:lvlJc w:val="left"/>
      <w:pPr>
        <w:tabs>
          <w:tab w:val="num" w:pos="4320"/>
        </w:tabs>
        <w:ind w:left="4320" w:hanging="360"/>
      </w:pPr>
      <w:rPr>
        <w:rFonts w:ascii="Times New Roman" w:hAnsi="Times New Roman" w:hint="default"/>
      </w:rPr>
    </w:lvl>
    <w:lvl w:ilvl="6" w:tplc="D1681D54" w:tentative="1">
      <w:start w:val="1"/>
      <w:numFmt w:val="bullet"/>
      <w:lvlText w:val="•"/>
      <w:lvlJc w:val="left"/>
      <w:pPr>
        <w:tabs>
          <w:tab w:val="num" w:pos="5040"/>
        </w:tabs>
        <w:ind w:left="5040" w:hanging="360"/>
      </w:pPr>
      <w:rPr>
        <w:rFonts w:ascii="Times New Roman" w:hAnsi="Times New Roman" w:hint="default"/>
      </w:rPr>
    </w:lvl>
    <w:lvl w:ilvl="7" w:tplc="71FEBB24" w:tentative="1">
      <w:start w:val="1"/>
      <w:numFmt w:val="bullet"/>
      <w:lvlText w:val="•"/>
      <w:lvlJc w:val="left"/>
      <w:pPr>
        <w:tabs>
          <w:tab w:val="num" w:pos="5760"/>
        </w:tabs>
        <w:ind w:left="5760" w:hanging="360"/>
      </w:pPr>
      <w:rPr>
        <w:rFonts w:ascii="Times New Roman" w:hAnsi="Times New Roman" w:hint="default"/>
      </w:rPr>
    </w:lvl>
    <w:lvl w:ilvl="8" w:tplc="040C991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D4E0CF2"/>
    <w:multiLevelType w:val="hybridMultilevel"/>
    <w:tmpl w:val="C1CADE92"/>
    <w:lvl w:ilvl="0" w:tplc="13309370">
      <w:start w:val="1"/>
      <w:numFmt w:val="bullet"/>
      <w:lvlText w:val="•"/>
      <w:lvlJc w:val="left"/>
      <w:pPr>
        <w:tabs>
          <w:tab w:val="num" w:pos="720"/>
        </w:tabs>
        <w:ind w:left="720" w:hanging="360"/>
      </w:pPr>
      <w:rPr>
        <w:rFonts w:ascii="Times New Roman" w:hAnsi="Times New Roman" w:hint="default"/>
      </w:rPr>
    </w:lvl>
    <w:lvl w:ilvl="1" w:tplc="C1E64FFE" w:tentative="1">
      <w:start w:val="1"/>
      <w:numFmt w:val="bullet"/>
      <w:lvlText w:val="•"/>
      <w:lvlJc w:val="left"/>
      <w:pPr>
        <w:tabs>
          <w:tab w:val="num" w:pos="1440"/>
        </w:tabs>
        <w:ind w:left="1440" w:hanging="360"/>
      </w:pPr>
      <w:rPr>
        <w:rFonts w:ascii="Times New Roman" w:hAnsi="Times New Roman" w:hint="default"/>
      </w:rPr>
    </w:lvl>
    <w:lvl w:ilvl="2" w:tplc="20025720" w:tentative="1">
      <w:start w:val="1"/>
      <w:numFmt w:val="bullet"/>
      <w:lvlText w:val="•"/>
      <w:lvlJc w:val="left"/>
      <w:pPr>
        <w:tabs>
          <w:tab w:val="num" w:pos="2160"/>
        </w:tabs>
        <w:ind w:left="2160" w:hanging="360"/>
      </w:pPr>
      <w:rPr>
        <w:rFonts w:ascii="Times New Roman" w:hAnsi="Times New Roman" w:hint="default"/>
      </w:rPr>
    </w:lvl>
    <w:lvl w:ilvl="3" w:tplc="C432416E" w:tentative="1">
      <w:start w:val="1"/>
      <w:numFmt w:val="bullet"/>
      <w:lvlText w:val="•"/>
      <w:lvlJc w:val="left"/>
      <w:pPr>
        <w:tabs>
          <w:tab w:val="num" w:pos="2880"/>
        </w:tabs>
        <w:ind w:left="2880" w:hanging="360"/>
      </w:pPr>
      <w:rPr>
        <w:rFonts w:ascii="Times New Roman" w:hAnsi="Times New Roman" w:hint="default"/>
      </w:rPr>
    </w:lvl>
    <w:lvl w:ilvl="4" w:tplc="88E0A4AC" w:tentative="1">
      <w:start w:val="1"/>
      <w:numFmt w:val="bullet"/>
      <w:lvlText w:val="•"/>
      <w:lvlJc w:val="left"/>
      <w:pPr>
        <w:tabs>
          <w:tab w:val="num" w:pos="3600"/>
        </w:tabs>
        <w:ind w:left="3600" w:hanging="360"/>
      </w:pPr>
      <w:rPr>
        <w:rFonts w:ascii="Times New Roman" w:hAnsi="Times New Roman" w:hint="default"/>
      </w:rPr>
    </w:lvl>
    <w:lvl w:ilvl="5" w:tplc="EF6817A2" w:tentative="1">
      <w:start w:val="1"/>
      <w:numFmt w:val="bullet"/>
      <w:lvlText w:val="•"/>
      <w:lvlJc w:val="left"/>
      <w:pPr>
        <w:tabs>
          <w:tab w:val="num" w:pos="4320"/>
        </w:tabs>
        <w:ind w:left="4320" w:hanging="360"/>
      </w:pPr>
      <w:rPr>
        <w:rFonts w:ascii="Times New Roman" w:hAnsi="Times New Roman" w:hint="default"/>
      </w:rPr>
    </w:lvl>
    <w:lvl w:ilvl="6" w:tplc="1A6ABB46" w:tentative="1">
      <w:start w:val="1"/>
      <w:numFmt w:val="bullet"/>
      <w:lvlText w:val="•"/>
      <w:lvlJc w:val="left"/>
      <w:pPr>
        <w:tabs>
          <w:tab w:val="num" w:pos="5040"/>
        </w:tabs>
        <w:ind w:left="5040" w:hanging="360"/>
      </w:pPr>
      <w:rPr>
        <w:rFonts w:ascii="Times New Roman" w:hAnsi="Times New Roman" w:hint="default"/>
      </w:rPr>
    </w:lvl>
    <w:lvl w:ilvl="7" w:tplc="13C25352" w:tentative="1">
      <w:start w:val="1"/>
      <w:numFmt w:val="bullet"/>
      <w:lvlText w:val="•"/>
      <w:lvlJc w:val="left"/>
      <w:pPr>
        <w:tabs>
          <w:tab w:val="num" w:pos="5760"/>
        </w:tabs>
        <w:ind w:left="5760" w:hanging="360"/>
      </w:pPr>
      <w:rPr>
        <w:rFonts w:ascii="Times New Roman" w:hAnsi="Times New Roman" w:hint="default"/>
      </w:rPr>
    </w:lvl>
    <w:lvl w:ilvl="8" w:tplc="DD407CD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F154636"/>
    <w:multiLevelType w:val="hybridMultilevel"/>
    <w:tmpl w:val="74EC2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5F0EEC"/>
    <w:multiLevelType w:val="hybridMultilevel"/>
    <w:tmpl w:val="439E7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6728F9"/>
    <w:multiLevelType w:val="hybridMultilevel"/>
    <w:tmpl w:val="2F02C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E57DB3"/>
    <w:multiLevelType w:val="hybridMultilevel"/>
    <w:tmpl w:val="04605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10546A"/>
    <w:multiLevelType w:val="hybridMultilevel"/>
    <w:tmpl w:val="5CDE0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EF44C8"/>
    <w:multiLevelType w:val="hybridMultilevel"/>
    <w:tmpl w:val="D422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71820"/>
    <w:multiLevelType w:val="hybridMultilevel"/>
    <w:tmpl w:val="98081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0E33F5"/>
    <w:multiLevelType w:val="hybridMultilevel"/>
    <w:tmpl w:val="046AAA2E"/>
    <w:lvl w:ilvl="0" w:tplc="0809000F">
      <w:start w:val="1"/>
      <w:numFmt w:val="decimal"/>
      <w:lvlText w:val="%1."/>
      <w:lvlJc w:val="left"/>
      <w:pPr>
        <w:tabs>
          <w:tab w:val="num" w:pos="720"/>
        </w:tabs>
        <w:ind w:left="720" w:hanging="360"/>
      </w:pPr>
      <w:rPr>
        <w:rFonts w:hint="default"/>
      </w:rPr>
    </w:lvl>
    <w:lvl w:ilvl="1" w:tplc="83D4ED50" w:tentative="1">
      <w:start w:val="1"/>
      <w:numFmt w:val="bullet"/>
      <w:lvlText w:val="•"/>
      <w:lvlJc w:val="left"/>
      <w:pPr>
        <w:tabs>
          <w:tab w:val="num" w:pos="1440"/>
        </w:tabs>
        <w:ind w:left="1440" w:hanging="360"/>
      </w:pPr>
      <w:rPr>
        <w:rFonts w:ascii="Times New Roman" w:hAnsi="Times New Roman" w:hint="default"/>
      </w:rPr>
    </w:lvl>
    <w:lvl w:ilvl="2" w:tplc="C606702C" w:tentative="1">
      <w:start w:val="1"/>
      <w:numFmt w:val="bullet"/>
      <w:lvlText w:val="•"/>
      <w:lvlJc w:val="left"/>
      <w:pPr>
        <w:tabs>
          <w:tab w:val="num" w:pos="2160"/>
        </w:tabs>
        <w:ind w:left="2160" w:hanging="360"/>
      </w:pPr>
      <w:rPr>
        <w:rFonts w:ascii="Times New Roman" w:hAnsi="Times New Roman" w:hint="default"/>
      </w:rPr>
    </w:lvl>
    <w:lvl w:ilvl="3" w:tplc="C0EEFAF2" w:tentative="1">
      <w:start w:val="1"/>
      <w:numFmt w:val="bullet"/>
      <w:lvlText w:val="•"/>
      <w:lvlJc w:val="left"/>
      <w:pPr>
        <w:tabs>
          <w:tab w:val="num" w:pos="2880"/>
        </w:tabs>
        <w:ind w:left="2880" w:hanging="360"/>
      </w:pPr>
      <w:rPr>
        <w:rFonts w:ascii="Times New Roman" w:hAnsi="Times New Roman" w:hint="default"/>
      </w:rPr>
    </w:lvl>
    <w:lvl w:ilvl="4" w:tplc="9F88A2F2" w:tentative="1">
      <w:start w:val="1"/>
      <w:numFmt w:val="bullet"/>
      <w:lvlText w:val="•"/>
      <w:lvlJc w:val="left"/>
      <w:pPr>
        <w:tabs>
          <w:tab w:val="num" w:pos="3600"/>
        </w:tabs>
        <w:ind w:left="3600" w:hanging="360"/>
      </w:pPr>
      <w:rPr>
        <w:rFonts w:ascii="Times New Roman" w:hAnsi="Times New Roman" w:hint="default"/>
      </w:rPr>
    </w:lvl>
    <w:lvl w:ilvl="5" w:tplc="9E4C73CC" w:tentative="1">
      <w:start w:val="1"/>
      <w:numFmt w:val="bullet"/>
      <w:lvlText w:val="•"/>
      <w:lvlJc w:val="left"/>
      <w:pPr>
        <w:tabs>
          <w:tab w:val="num" w:pos="4320"/>
        </w:tabs>
        <w:ind w:left="4320" w:hanging="360"/>
      </w:pPr>
      <w:rPr>
        <w:rFonts w:ascii="Times New Roman" w:hAnsi="Times New Roman" w:hint="default"/>
      </w:rPr>
    </w:lvl>
    <w:lvl w:ilvl="6" w:tplc="D1681D54" w:tentative="1">
      <w:start w:val="1"/>
      <w:numFmt w:val="bullet"/>
      <w:lvlText w:val="•"/>
      <w:lvlJc w:val="left"/>
      <w:pPr>
        <w:tabs>
          <w:tab w:val="num" w:pos="5040"/>
        </w:tabs>
        <w:ind w:left="5040" w:hanging="360"/>
      </w:pPr>
      <w:rPr>
        <w:rFonts w:ascii="Times New Roman" w:hAnsi="Times New Roman" w:hint="default"/>
      </w:rPr>
    </w:lvl>
    <w:lvl w:ilvl="7" w:tplc="71FEBB24" w:tentative="1">
      <w:start w:val="1"/>
      <w:numFmt w:val="bullet"/>
      <w:lvlText w:val="•"/>
      <w:lvlJc w:val="left"/>
      <w:pPr>
        <w:tabs>
          <w:tab w:val="num" w:pos="5760"/>
        </w:tabs>
        <w:ind w:left="5760" w:hanging="360"/>
      </w:pPr>
      <w:rPr>
        <w:rFonts w:ascii="Times New Roman" w:hAnsi="Times New Roman" w:hint="default"/>
      </w:rPr>
    </w:lvl>
    <w:lvl w:ilvl="8" w:tplc="040C991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19C5FD3"/>
    <w:multiLevelType w:val="hybridMultilevel"/>
    <w:tmpl w:val="F4202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36738A"/>
    <w:multiLevelType w:val="hybridMultilevel"/>
    <w:tmpl w:val="9752B50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686A66E0"/>
    <w:multiLevelType w:val="hybridMultilevel"/>
    <w:tmpl w:val="DF3A53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ED32C4"/>
    <w:multiLevelType w:val="hybridMultilevel"/>
    <w:tmpl w:val="78B88712"/>
    <w:lvl w:ilvl="0" w:tplc="8190FBE8">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5B77A6"/>
    <w:multiLevelType w:val="hybridMultilevel"/>
    <w:tmpl w:val="F19EC9D0"/>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36" w15:restartNumberingAfterBreak="0">
    <w:nsid w:val="71CE4C57"/>
    <w:multiLevelType w:val="hybridMultilevel"/>
    <w:tmpl w:val="D3A4D582"/>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37" w15:restartNumberingAfterBreak="0">
    <w:nsid w:val="738B6D86"/>
    <w:multiLevelType w:val="hybridMultilevel"/>
    <w:tmpl w:val="FA04262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76463D58"/>
    <w:multiLevelType w:val="hybridMultilevel"/>
    <w:tmpl w:val="21A2997E"/>
    <w:lvl w:ilvl="0" w:tplc="8190FBE8">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E54181"/>
    <w:multiLevelType w:val="hybridMultilevel"/>
    <w:tmpl w:val="80B41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724C5D"/>
    <w:multiLevelType w:val="hybridMultilevel"/>
    <w:tmpl w:val="B264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65624B"/>
    <w:multiLevelType w:val="hybridMultilevel"/>
    <w:tmpl w:val="30E89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1"/>
  </w:num>
  <w:num w:numId="4">
    <w:abstractNumId w:val="27"/>
  </w:num>
  <w:num w:numId="5">
    <w:abstractNumId w:val="6"/>
  </w:num>
  <w:num w:numId="6">
    <w:abstractNumId w:val="3"/>
  </w:num>
  <w:num w:numId="7">
    <w:abstractNumId w:val="22"/>
  </w:num>
  <w:num w:numId="8">
    <w:abstractNumId w:val="21"/>
  </w:num>
  <w:num w:numId="9">
    <w:abstractNumId w:val="30"/>
  </w:num>
  <w:num w:numId="10">
    <w:abstractNumId w:val="2"/>
  </w:num>
  <w:num w:numId="11">
    <w:abstractNumId w:val="0"/>
  </w:num>
  <w:num w:numId="12">
    <w:abstractNumId w:val="38"/>
  </w:num>
  <w:num w:numId="13">
    <w:abstractNumId w:val="20"/>
  </w:num>
  <w:num w:numId="14">
    <w:abstractNumId w:val="34"/>
  </w:num>
  <w:num w:numId="15">
    <w:abstractNumId w:val="13"/>
  </w:num>
  <w:num w:numId="16">
    <w:abstractNumId w:val="14"/>
  </w:num>
  <w:num w:numId="17">
    <w:abstractNumId w:val="29"/>
  </w:num>
  <w:num w:numId="18">
    <w:abstractNumId w:val="24"/>
  </w:num>
  <w:num w:numId="19">
    <w:abstractNumId w:val="33"/>
  </w:num>
  <w:num w:numId="20">
    <w:abstractNumId w:val="28"/>
  </w:num>
  <w:num w:numId="21">
    <w:abstractNumId w:val="7"/>
  </w:num>
  <w:num w:numId="22">
    <w:abstractNumId w:val="16"/>
  </w:num>
  <w:num w:numId="23">
    <w:abstractNumId w:val="26"/>
  </w:num>
  <w:num w:numId="24">
    <w:abstractNumId w:val="9"/>
  </w:num>
  <w:num w:numId="25">
    <w:abstractNumId w:val="12"/>
  </w:num>
  <w:num w:numId="26">
    <w:abstractNumId w:val="35"/>
  </w:num>
  <w:num w:numId="27">
    <w:abstractNumId w:val="5"/>
  </w:num>
  <w:num w:numId="28">
    <w:abstractNumId w:val="4"/>
  </w:num>
  <w:num w:numId="29">
    <w:abstractNumId w:val="18"/>
  </w:num>
  <w:num w:numId="30">
    <w:abstractNumId w:val="8"/>
  </w:num>
  <w:num w:numId="31">
    <w:abstractNumId w:val="19"/>
  </w:num>
  <w:num w:numId="32">
    <w:abstractNumId w:val="23"/>
  </w:num>
  <w:num w:numId="33">
    <w:abstractNumId w:val="41"/>
  </w:num>
  <w:num w:numId="34">
    <w:abstractNumId w:val="32"/>
  </w:num>
  <w:num w:numId="35">
    <w:abstractNumId w:val="11"/>
  </w:num>
  <w:num w:numId="36">
    <w:abstractNumId w:val="37"/>
  </w:num>
  <w:num w:numId="37">
    <w:abstractNumId w:val="17"/>
  </w:num>
  <w:num w:numId="38">
    <w:abstractNumId w:val="25"/>
  </w:num>
  <w:num w:numId="39">
    <w:abstractNumId w:val="36"/>
  </w:num>
  <w:num w:numId="40">
    <w:abstractNumId w:val="15"/>
  </w:num>
  <w:num w:numId="41">
    <w:abstractNumId w:val="40"/>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B6A"/>
    <w:rsid w:val="0000075A"/>
    <w:rsid w:val="00007604"/>
    <w:rsid w:val="00015442"/>
    <w:rsid w:val="00023B6A"/>
    <w:rsid w:val="00044133"/>
    <w:rsid w:val="0004531E"/>
    <w:rsid w:val="00071943"/>
    <w:rsid w:val="00072AEA"/>
    <w:rsid w:val="000757BB"/>
    <w:rsid w:val="00085C6E"/>
    <w:rsid w:val="000B221F"/>
    <w:rsid w:val="000C2529"/>
    <w:rsid w:val="000C3562"/>
    <w:rsid w:val="000F4A25"/>
    <w:rsid w:val="000F60BF"/>
    <w:rsid w:val="000F7363"/>
    <w:rsid w:val="00102190"/>
    <w:rsid w:val="00106711"/>
    <w:rsid w:val="00106900"/>
    <w:rsid w:val="00115D54"/>
    <w:rsid w:val="00117F57"/>
    <w:rsid w:val="00155623"/>
    <w:rsid w:val="00173B7F"/>
    <w:rsid w:val="00183D33"/>
    <w:rsid w:val="00187C6E"/>
    <w:rsid w:val="00190C65"/>
    <w:rsid w:val="00190E85"/>
    <w:rsid w:val="001A15F6"/>
    <w:rsid w:val="001A6B6A"/>
    <w:rsid w:val="001B3128"/>
    <w:rsid w:val="001D6358"/>
    <w:rsid w:val="00220057"/>
    <w:rsid w:val="002227EF"/>
    <w:rsid w:val="0024231E"/>
    <w:rsid w:val="002547BA"/>
    <w:rsid w:val="0026666A"/>
    <w:rsid w:val="00266F9E"/>
    <w:rsid w:val="0027024E"/>
    <w:rsid w:val="00274C6F"/>
    <w:rsid w:val="00282706"/>
    <w:rsid w:val="00285EC4"/>
    <w:rsid w:val="002A5B59"/>
    <w:rsid w:val="002B2DA5"/>
    <w:rsid w:val="002C1058"/>
    <w:rsid w:val="002C2668"/>
    <w:rsid w:val="002C27E4"/>
    <w:rsid w:val="002C3940"/>
    <w:rsid w:val="002C47AC"/>
    <w:rsid w:val="002D02B3"/>
    <w:rsid w:val="002D2661"/>
    <w:rsid w:val="002D4363"/>
    <w:rsid w:val="002D5CE1"/>
    <w:rsid w:val="002E3879"/>
    <w:rsid w:val="002E45EF"/>
    <w:rsid w:val="002F753D"/>
    <w:rsid w:val="00310589"/>
    <w:rsid w:val="00320317"/>
    <w:rsid w:val="00330A10"/>
    <w:rsid w:val="0035411C"/>
    <w:rsid w:val="003546DF"/>
    <w:rsid w:val="00354D8F"/>
    <w:rsid w:val="00381698"/>
    <w:rsid w:val="003937C6"/>
    <w:rsid w:val="003B50C0"/>
    <w:rsid w:val="003B5457"/>
    <w:rsid w:val="003B5FD5"/>
    <w:rsid w:val="003C683D"/>
    <w:rsid w:val="003D2A3B"/>
    <w:rsid w:val="0040727D"/>
    <w:rsid w:val="00427F62"/>
    <w:rsid w:val="00455869"/>
    <w:rsid w:val="004752C1"/>
    <w:rsid w:val="004A7093"/>
    <w:rsid w:val="004B1AE5"/>
    <w:rsid w:val="004C4251"/>
    <w:rsid w:val="004C729C"/>
    <w:rsid w:val="004D702B"/>
    <w:rsid w:val="004E6BA3"/>
    <w:rsid w:val="004F130B"/>
    <w:rsid w:val="004F4B37"/>
    <w:rsid w:val="00515023"/>
    <w:rsid w:val="005345DF"/>
    <w:rsid w:val="005365C6"/>
    <w:rsid w:val="00551D97"/>
    <w:rsid w:val="0056733D"/>
    <w:rsid w:val="005777E7"/>
    <w:rsid w:val="00591A6F"/>
    <w:rsid w:val="005C1871"/>
    <w:rsid w:val="005C2A91"/>
    <w:rsid w:val="005D3D3D"/>
    <w:rsid w:val="005E095D"/>
    <w:rsid w:val="005E1A8D"/>
    <w:rsid w:val="005E3020"/>
    <w:rsid w:val="005E4D5F"/>
    <w:rsid w:val="00606ED3"/>
    <w:rsid w:val="0064686A"/>
    <w:rsid w:val="00652783"/>
    <w:rsid w:val="00653F1D"/>
    <w:rsid w:val="00656A63"/>
    <w:rsid w:val="00687DE7"/>
    <w:rsid w:val="006919FA"/>
    <w:rsid w:val="006E3985"/>
    <w:rsid w:val="00701B00"/>
    <w:rsid w:val="00721B40"/>
    <w:rsid w:val="00722122"/>
    <w:rsid w:val="007331A8"/>
    <w:rsid w:val="00733CF0"/>
    <w:rsid w:val="0074190E"/>
    <w:rsid w:val="00745F93"/>
    <w:rsid w:val="00756EFB"/>
    <w:rsid w:val="007A1E14"/>
    <w:rsid w:val="007A2A9A"/>
    <w:rsid w:val="007C41EA"/>
    <w:rsid w:val="007D0785"/>
    <w:rsid w:val="007D5F95"/>
    <w:rsid w:val="007D7E11"/>
    <w:rsid w:val="00846FBC"/>
    <w:rsid w:val="00864CE9"/>
    <w:rsid w:val="008743D0"/>
    <w:rsid w:val="00875320"/>
    <w:rsid w:val="0087766C"/>
    <w:rsid w:val="0087779E"/>
    <w:rsid w:val="00886454"/>
    <w:rsid w:val="00887BE6"/>
    <w:rsid w:val="008931D7"/>
    <w:rsid w:val="008B08C8"/>
    <w:rsid w:val="008C7DCE"/>
    <w:rsid w:val="008D422A"/>
    <w:rsid w:val="008F3B8A"/>
    <w:rsid w:val="0090732B"/>
    <w:rsid w:val="00910418"/>
    <w:rsid w:val="00924445"/>
    <w:rsid w:val="00926217"/>
    <w:rsid w:val="00931337"/>
    <w:rsid w:val="009366AC"/>
    <w:rsid w:val="00962E79"/>
    <w:rsid w:val="009761B6"/>
    <w:rsid w:val="00990CD3"/>
    <w:rsid w:val="009E6EC2"/>
    <w:rsid w:val="009F2591"/>
    <w:rsid w:val="00A05716"/>
    <w:rsid w:val="00A11D75"/>
    <w:rsid w:val="00A43025"/>
    <w:rsid w:val="00A46429"/>
    <w:rsid w:val="00A46B2B"/>
    <w:rsid w:val="00A46E53"/>
    <w:rsid w:val="00A5438E"/>
    <w:rsid w:val="00A64B1A"/>
    <w:rsid w:val="00A65DF5"/>
    <w:rsid w:val="00A76FB1"/>
    <w:rsid w:val="00A93965"/>
    <w:rsid w:val="00A9408C"/>
    <w:rsid w:val="00AE77BA"/>
    <w:rsid w:val="00B202B1"/>
    <w:rsid w:val="00B215D4"/>
    <w:rsid w:val="00B2573F"/>
    <w:rsid w:val="00B370B8"/>
    <w:rsid w:val="00B46301"/>
    <w:rsid w:val="00B601EE"/>
    <w:rsid w:val="00B800E6"/>
    <w:rsid w:val="00B91845"/>
    <w:rsid w:val="00BA3F1D"/>
    <w:rsid w:val="00BC1F33"/>
    <w:rsid w:val="00BD3277"/>
    <w:rsid w:val="00BF3119"/>
    <w:rsid w:val="00C04C9B"/>
    <w:rsid w:val="00C271C2"/>
    <w:rsid w:val="00C34F9F"/>
    <w:rsid w:val="00C41FC4"/>
    <w:rsid w:val="00C47C55"/>
    <w:rsid w:val="00C65865"/>
    <w:rsid w:val="00C658AE"/>
    <w:rsid w:val="00C81104"/>
    <w:rsid w:val="00C820D0"/>
    <w:rsid w:val="00C8271C"/>
    <w:rsid w:val="00C935DD"/>
    <w:rsid w:val="00CA21AE"/>
    <w:rsid w:val="00CC1CF5"/>
    <w:rsid w:val="00CE12C5"/>
    <w:rsid w:val="00D13A3B"/>
    <w:rsid w:val="00D61D2C"/>
    <w:rsid w:val="00D92892"/>
    <w:rsid w:val="00D97413"/>
    <w:rsid w:val="00DA141F"/>
    <w:rsid w:val="00DA5642"/>
    <w:rsid w:val="00DB54AC"/>
    <w:rsid w:val="00DC32A6"/>
    <w:rsid w:val="00DE2EEF"/>
    <w:rsid w:val="00DE49B8"/>
    <w:rsid w:val="00E03EA2"/>
    <w:rsid w:val="00E24A75"/>
    <w:rsid w:val="00E25AD2"/>
    <w:rsid w:val="00E37C84"/>
    <w:rsid w:val="00E40BD7"/>
    <w:rsid w:val="00E52936"/>
    <w:rsid w:val="00E64F3F"/>
    <w:rsid w:val="00E7234F"/>
    <w:rsid w:val="00E82C91"/>
    <w:rsid w:val="00E84953"/>
    <w:rsid w:val="00EB3B79"/>
    <w:rsid w:val="00EE264C"/>
    <w:rsid w:val="00EE5741"/>
    <w:rsid w:val="00EF2E17"/>
    <w:rsid w:val="00F04E80"/>
    <w:rsid w:val="00F220EB"/>
    <w:rsid w:val="00F373CE"/>
    <w:rsid w:val="00F401DA"/>
    <w:rsid w:val="00F40CBF"/>
    <w:rsid w:val="00F468CB"/>
    <w:rsid w:val="00F51766"/>
    <w:rsid w:val="00F74FD0"/>
    <w:rsid w:val="00FA5FAF"/>
    <w:rsid w:val="00FB0778"/>
    <w:rsid w:val="00FB0C78"/>
    <w:rsid w:val="00FB6745"/>
    <w:rsid w:val="00FB7D83"/>
    <w:rsid w:val="00FC0F24"/>
    <w:rsid w:val="00FC2B16"/>
    <w:rsid w:val="00FC533F"/>
    <w:rsid w:val="00FD78BE"/>
    <w:rsid w:val="00FE2596"/>
    <w:rsid w:val="00FE6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58D6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935DD"/>
    <w:pPr>
      <w:spacing w:after="100" w:afterAutospacing="1"/>
    </w:pPr>
    <w:rPr>
      <w:rFonts w:ascii="Verdana" w:eastAsia="Times New Roman" w:hAnsi="Verdana" w:cs="Times New Roman"/>
      <w:sz w:val="20"/>
    </w:rPr>
  </w:style>
  <w:style w:type="paragraph" w:styleId="Heading1">
    <w:name w:val="heading 1"/>
    <w:basedOn w:val="Normal"/>
    <w:next w:val="Normal"/>
    <w:link w:val="Heading1Char"/>
    <w:uiPriority w:val="9"/>
    <w:qFormat/>
    <w:rsid w:val="001B3128"/>
    <w:pPr>
      <w:keepNext/>
      <w:keepLines/>
      <w:spacing w:before="100" w:beforeAutospacing="1"/>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024E"/>
    <w:pPr>
      <w:keepNext/>
      <w:keepLines/>
      <w:spacing w:before="200" w:after="0" w:afterAutospacing="0"/>
      <w:outlineLvl w:val="1"/>
    </w:pPr>
    <w:rPr>
      <w:rFonts w:eastAsiaTheme="majorEastAsia" w:cstheme="majorBidi"/>
      <w:b/>
      <w:bCs/>
      <w:color w:val="4F81BD" w:themeColor="accent1"/>
      <w:sz w:val="24"/>
      <w:szCs w:val="26"/>
    </w:rPr>
  </w:style>
  <w:style w:type="paragraph" w:styleId="Heading3">
    <w:name w:val="heading 3"/>
    <w:basedOn w:val="Normal"/>
    <w:next w:val="Normal"/>
    <w:link w:val="Heading3Char"/>
    <w:uiPriority w:val="9"/>
    <w:unhideWhenUsed/>
    <w:qFormat/>
    <w:rsid w:val="002C105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6B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23B6A"/>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uiPriority w:val="99"/>
    <w:unhideWhenUsed/>
    <w:rsid w:val="00023B6A"/>
    <w:rPr>
      <w:rFonts w:cs="Times New Roman"/>
      <w:color w:val="0000FF"/>
      <w:u w:val="single"/>
    </w:rPr>
  </w:style>
  <w:style w:type="character" w:customStyle="1" w:styleId="apple-style-span">
    <w:name w:val="apple-style-span"/>
    <w:basedOn w:val="DefaultParagraphFont"/>
    <w:rsid w:val="00023B6A"/>
  </w:style>
  <w:style w:type="paragraph" w:styleId="BalloonText">
    <w:name w:val="Balloon Text"/>
    <w:basedOn w:val="Normal"/>
    <w:link w:val="BalloonTextChar"/>
    <w:uiPriority w:val="99"/>
    <w:semiHidden/>
    <w:unhideWhenUsed/>
    <w:rsid w:val="00023B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B6A"/>
    <w:rPr>
      <w:rFonts w:ascii="Tahoma" w:eastAsia="Times New Roman" w:hAnsi="Tahoma" w:cs="Tahoma"/>
      <w:sz w:val="16"/>
      <w:szCs w:val="16"/>
    </w:rPr>
  </w:style>
  <w:style w:type="paragraph" w:styleId="Title">
    <w:name w:val="Title"/>
    <w:basedOn w:val="Normal"/>
    <w:next w:val="Normal"/>
    <w:link w:val="TitleChar"/>
    <w:uiPriority w:val="10"/>
    <w:qFormat/>
    <w:rsid w:val="00023B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3B6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B3128"/>
    <w:rPr>
      <w:rFonts w:ascii="Verdana" w:eastAsiaTheme="majorEastAsia" w:hAnsi="Verdan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7024E"/>
    <w:rPr>
      <w:rFonts w:ascii="Verdana" w:eastAsiaTheme="majorEastAsia" w:hAnsi="Verdana" w:cstheme="majorBidi"/>
      <w:b/>
      <w:bCs/>
      <w:color w:val="4F81BD" w:themeColor="accent1"/>
      <w:sz w:val="24"/>
      <w:szCs w:val="26"/>
    </w:rPr>
  </w:style>
  <w:style w:type="paragraph" w:styleId="ListParagraph">
    <w:name w:val="List Paragraph"/>
    <w:basedOn w:val="Normal"/>
    <w:uiPriority w:val="34"/>
    <w:qFormat/>
    <w:rsid w:val="00B91845"/>
    <w:pPr>
      <w:ind w:left="720"/>
      <w:contextualSpacing/>
    </w:pPr>
  </w:style>
  <w:style w:type="paragraph" w:styleId="Header">
    <w:name w:val="header"/>
    <w:basedOn w:val="Normal"/>
    <w:link w:val="HeaderChar"/>
    <w:uiPriority w:val="99"/>
    <w:unhideWhenUsed/>
    <w:rsid w:val="00B918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845"/>
    <w:rPr>
      <w:rFonts w:ascii="Calibri" w:eastAsia="Times New Roman" w:hAnsi="Calibri" w:cs="Times New Roman"/>
    </w:rPr>
  </w:style>
  <w:style w:type="paragraph" w:styleId="Footer">
    <w:name w:val="footer"/>
    <w:basedOn w:val="Normal"/>
    <w:link w:val="FooterChar"/>
    <w:uiPriority w:val="99"/>
    <w:unhideWhenUsed/>
    <w:rsid w:val="00B918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845"/>
    <w:rPr>
      <w:rFonts w:ascii="Calibri" w:eastAsia="Times New Roman" w:hAnsi="Calibri" w:cs="Times New Roman"/>
    </w:rPr>
  </w:style>
  <w:style w:type="paragraph" w:styleId="EndnoteText">
    <w:name w:val="endnote text"/>
    <w:basedOn w:val="Normal"/>
    <w:link w:val="EndnoteTextChar"/>
    <w:uiPriority w:val="99"/>
    <w:unhideWhenUsed/>
    <w:rsid w:val="00656A63"/>
    <w:pPr>
      <w:spacing w:after="0" w:line="240" w:lineRule="auto"/>
    </w:pPr>
    <w:rPr>
      <w:szCs w:val="20"/>
    </w:rPr>
  </w:style>
  <w:style w:type="character" w:customStyle="1" w:styleId="EndnoteTextChar">
    <w:name w:val="Endnote Text Char"/>
    <w:basedOn w:val="DefaultParagraphFont"/>
    <w:link w:val="EndnoteText"/>
    <w:uiPriority w:val="99"/>
    <w:rsid w:val="00656A63"/>
    <w:rPr>
      <w:rFonts w:ascii="Calibri" w:eastAsia="Times New Roman" w:hAnsi="Calibri" w:cs="Times New Roman"/>
      <w:sz w:val="20"/>
      <w:szCs w:val="20"/>
    </w:rPr>
  </w:style>
  <w:style w:type="character" w:styleId="EndnoteReference">
    <w:name w:val="endnote reference"/>
    <w:basedOn w:val="DefaultParagraphFont"/>
    <w:uiPriority w:val="99"/>
    <w:unhideWhenUsed/>
    <w:rsid w:val="00656A63"/>
    <w:rPr>
      <w:vertAlign w:val="superscript"/>
    </w:rPr>
  </w:style>
  <w:style w:type="paragraph" w:styleId="Subtitle">
    <w:name w:val="Subtitle"/>
    <w:basedOn w:val="Normal"/>
    <w:next w:val="Normal"/>
    <w:link w:val="SubtitleChar"/>
    <w:uiPriority w:val="11"/>
    <w:qFormat/>
    <w:rsid w:val="00115D54"/>
    <w:pPr>
      <w:numPr>
        <w:ilvl w:val="1"/>
      </w:numPr>
      <w:spacing w:after="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15D54"/>
    <w:rPr>
      <w:rFonts w:asciiTheme="majorHAnsi" w:eastAsiaTheme="majorEastAsia" w:hAnsiTheme="majorHAnsi" w:cstheme="majorBidi"/>
      <w:i/>
      <w:iCs/>
      <w:color w:val="4F81BD" w:themeColor="accent1"/>
      <w:spacing w:val="15"/>
      <w:szCs w:val="24"/>
    </w:rPr>
  </w:style>
  <w:style w:type="character" w:customStyle="1" w:styleId="Heading3Char">
    <w:name w:val="Heading 3 Char"/>
    <w:basedOn w:val="DefaultParagraphFont"/>
    <w:link w:val="Heading3"/>
    <w:uiPriority w:val="9"/>
    <w:rsid w:val="002C105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A6B6A"/>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unhideWhenUsed/>
    <w:rsid w:val="00A93965"/>
    <w:pPr>
      <w:spacing w:after="0" w:line="240" w:lineRule="auto"/>
    </w:pPr>
    <w:rPr>
      <w:szCs w:val="20"/>
    </w:rPr>
  </w:style>
  <w:style w:type="character" w:customStyle="1" w:styleId="FootnoteTextChar">
    <w:name w:val="Footnote Text Char"/>
    <w:basedOn w:val="DefaultParagraphFont"/>
    <w:link w:val="FootnoteText"/>
    <w:uiPriority w:val="99"/>
    <w:rsid w:val="00A93965"/>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A93965"/>
    <w:rPr>
      <w:vertAlign w:val="superscript"/>
    </w:rPr>
  </w:style>
  <w:style w:type="paragraph" w:styleId="NormalWeb">
    <w:name w:val="Normal (Web)"/>
    <w:basedOn w:val="Normal"/>
    <w:uiPriority w:val="99"/>
    <w:semiHidden/>
    <w:unhideWhenUsed/>
    <w:rsid w:val="007C41EA"/>
    <w:pPr>
      <w:spacing w:before="100" w:beforeAutospacing="1" w:line="240" w:lineRule="auto"/>
    </w:pPr>
    <w:rPr>
      <w:rFonts w:ascii="Times New Roman" w:hAnsi="Times New Roman"/>
      <w:sz w:val="24"/>
      <w:szCs w:val="24"/>
      <w:lang w:eastAsia="en-GB"/>
    </w:rPr>
  </w:style>
  <w:style w:type="character" w:styleId="FollowedHyperlink">
    <w:name w:val="FollowedHyperlink"/>
    <w:basedOn w:val="DefaultParagraphFont"/>
    <w:uiPriority w:val="99"/>
    <w:semiHidden/>
    <w:unhideWhenUsed/>
    <w:rsid w:val="002D2661"/>
    <w:rPr>
      <w:color w:val="800080" w:themeColor="followedHyperlink"/>
      <w:u w:val="single"/>
    </w:rPr>
  </w:style>
  <w:style w:type="paragraph" w:styleId="PlainText">
    <w:name w:val="Plain Text"/>
    <w:basedOn w:val="Normal"/>
    <w:link w:val="PlainTextChar"/>
    <w:uiPriority w:val="99"/>
    <w:semiHidden/>
    <w:unhideWhenUsed/>
    <w:rsid w:val="0038169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81698"/>
    <w:rPr>
      <w:rFonts w:ascii="Consolas" w:eastAsia="Times New Roman" w:hAnsi="Consolas" w:cs="Consolas"/>
      <w:sz w:val="21"/>
      <w:szCs w:val="21"/>
    </w:rPr>
  </w:style>
  <w:style w:type="character" w:styleId="Emphasis">
    <w:name w:val="Emphasis"/>
    <w:basedOn w:val="DefaultParagraphFont"/>
    <w:uiPriority w:val="20"/>
    <w:qFormat/>
    <w:rsid w:val="00FC2B16"/>
    <w:rPr>
      <w:i/>
      <w:iCs/>
    </w:rPr>
  </w:style>
  <w:style w:type="paragraph" w:customStyle="1" w:styleId="Pa9">
    <w:name w:val="Pa9"/>
    <w:basedOn w:val="Default"/>
    <w:next w:val="Default"/>
    <w:uiPriority w:val="99"/>
    <w:rsid w:val="00D97413"/>
    <w:pPr>
      <w:spacing w:line="241" w:lineRule="atLeast"/>
    </w:pPr>
    <w:rPr>
      <w:rFonts w:ascii="Frutiger LT Std 45 Light" w:hAnsi="Frutiger LT Std 45 Light" w:cs="Times New Roman"/>
      <w:color w:val="auto"/>
      <w:lang w:eastAsia="en-GB"/>
    </w:rPr>
  </w:style>
  <w:style w:type="paragraph" w:customStyle="1" w:styleId="Pa10">
    <w:name w:val="Pa10"/>
    <w:basedOn w:val="Default"/>
    <w:next w:val="Default"/>
    <w:uiPriority w:val="99"/>
    <w:rsid w:val="00D97413"/>
    <w:pPr>
      <w:spacing w:line="241" w:lineRule="atLeast"/>
    </w:pPr>
    <w:rPr>
      <w:rFonts w:ascii="Frutiger LT Std 45 Light" w:hAnsi="Frutiger LT Std 45 Light" w:cs="Times New Roman"/>
      <w:color w:val="auto"/>
      <w:lang w:eastAsia="en-GB"/>
    </w:rPr>
  </w:style>
  <w:style w:type="paragraph" w:customStyle="1" w:styleId="Pa11">
    <w:name w:val="Pa11"/>
    <w:basedOn w:val="Default"/>
    <w:next w:val="Default"/>
    <w:uiPriority w:val="99"/>
    <w:rsid w:val="00D97413"/>
    <w:pPr>
      <w:spacing w:line="241" w:lineRule="atLeast"/>
    </w:pPr>
    <w:rPr>
      <w:rFonts w:ascii="Frutiger LT Std 45 Light" w:hAnsi="Frutiger LT Std 45 Light" w:cs="Times New Roman"/>
      <w:color w:val="auto"/>
      <w:lang w:eastAsia="en-GB"/>
    </w:rPr>
  </w:style>
  <w:style w:type="character" w:customStyle="1" w:styleId="apple-converted-space">
    <w:name w:val="apple-converted-space"/>
    <w:basedOn w:val="DefaultParagraphFont"/>
    <w:rsid w:val="00D97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652">
      <w:bodyDiv w:val="1"/>
      <w:marLeft w:val="0"/>
      <w:marRight w:val="0"/>
      <w:marTop w:val="0"/>
      <w:marBottom w:val="0"/>
      <w:divBdr>
        <w:top w:val="none" w:sz="0" w:space="0" w:color="auto"/>
        <w:left w:val="none" w:sz="0" w:space="0" w:color="auto"/>
        <w:bottom w:val="none" w:sz="0" w:space="0" w:color="auto"/>
        <w:right w:val="none" w:sz="0" w:space="0" w:color="auto"/>
      </w:divBdr>
    </w:div>
    <w:div w:id="122770930">
      <w:bodyDiv w:val="1"/>
      <w:marLeft w:val="0"/>
      <w:marRight w:val="0"/>
      <w:marTop w:val="0"/>
      <w:marBottom w:val="0"/>
      <w:divBdr>
        <w:top w:val="none" w:sz="0" w:space="0" w:color="auto"/>
        <w:left w:val="none" w:sz="0" w:space="0" w:color="auto"/>
        <w:bottom w:val="none" w:sz="0" w:space="0" w:color="auto"/>
        <w:right w:val="none" w:sz="0" w:space="0" w:color="auto"/>
      </w:divBdr>
    </w:div>
    <w:div w:id="253323636">
      <w:bodyDiv w:val="1"/>
      <w:marLeft w:val="0"/>
      <w:marRight w:val="0"/>
      <w:marTop w:val="0"/>
      <w:marBottom w:val="0"/>
      <w:divBdr>
        <w:top w:val="none" w:sz="0" w:space="0" w:color="auto"/>
        <w:left w:val="none" w:sz="0" w:space="0" w:color="auto"/>
        <w:bottom w:val="none" w:sz="0" w:space="0" w:color="auto"/>
        <w:right w:val="none" w:sz="0" w:space="0" w:color="auto"/>
      </w:divBdr>
    </w:div>
    <w:div w:id="284195692">
      <w:bodyDiv w:val="1"/>
      <w:marLeft w:val="0"/>
      <w:marRight w:val="0"/>
      <w:marTop w:val="0"/>
      <w:marBottom w:val="0"/>
      <w:divBdr>
        <w:top w:val="none" w:sz="0" w:space="0" w:color="auto"/>
        <w:left w:val="none" w:sz="0" w:space="0" w:color="auto"/>
        <w:bottom w:val="none" w:sz="0" w:space="0" w:color="auto"/>
        <w:right w:val="none" w:sz="0" w:space="0" w:color="auto"/>
      </w:divBdr>
      <w:divsChild>
        <w:div w:id="135609926">
          <w:marLeft w:val="547"/>
          <w:marRight w:val="0"/>
          <w:marTop w:val="0"/>
          <w:marBottom w:val="0"/>
          <w:divBdr>
            <w:top w:val="none" w:sz="0" w:space="0" w:color="auto"/>
            <w:left w:val="none" w:sz="0" w:space="0" w:color="auto"/>
            <w:bottom w:val="none" w:sz="0" w:space="0" w:color="auto"/>
            <w:right w:val="none" w:sz="0" w:space="0" w:color="auto"/>
          </w:divBdr>
        </w:div>
        <w:div w:id="831216930">
          <w:marLeft w:val="547"/>
          <w:marRight w:val="0"/>
          <w:marTop w:val="0"/>
          <w:marBottom w:val="0"/>
          <w:divBdr>
            <w:top w:val="none" w:sz="0" w:space="0" w:color="auto"/>
            <w:left w:val="none" w:sz="0" w:space="0" w:color="auto"/>
            <w:bottom w:val="none" w:sz="0" w:space="0" w:color="auto"/>
            <w:right w:val="none" w:sz="0" w:space="0" w:color="auto"/>
          </w:divBdr>
        </w:div>
        <w:div w:id="2027519622">
          <w:marLeft w:val="547"/>
          <w:marRight w:val="0"/>
          <w:marTop w:val="0"/>
          <w:marBottom w:val="0"/>
          <w:divBdr>
            <w:top w:val="none" w:sz="0" w:space="0" w:color="auto"/>
            <w:left w:val="none" w:sz="0" w:space="0" w:color="auto"/>
            <w:bottom w:val="none" w:sz="0" w:space="0" w:color="auto"/>
            <w:right w:val="none" w:sz="0" w:space="0" w:color="auto"/>
          </w:divBdr>
        </w:div>
        <w:div w:id="442919774">
          <w:marLeft w:val="547"/>
          <w:marRight w:val="0"/>
          <w:marTop w:val="0"/>
          <w:marBottom w:val="0"/>
          <w:divBdr>
            <w:top w:val="none" w:sz="0" w:space="0" w:color="auto"/>
            <w:left w:val="none" w:sz="0" w:space="0" w:color="auto"/>
            <w:bottom w:val="none" w:sz="0" w:space="0" w:color="auto"/>
            <w:right w:val="none" w:sz="0" w:space="0" w:color="auto"/>
          </w:divBdr>
        </w:div>
        <w:div w:id="1522208936">
          <w:marLeft w:val="547"/>
          <w:marRight w:val="0"/>
          <w:marTop w:val="0"/>
          <w:marBottom w:val="0"/>
          <w:divBdr>
            <w:top w:val="none" w:sz="0" w:space="0" w:color="auto"/>
            <w:left w:val="none" w:sz="0" w:space="0" w:color="auto"/>
            <w:bottom w:val="none" w:sz="0" w:space="0" w:color="auto"/>
            <w:right w:val="none" w:sz="0" w:space="0" w:color="auto"/>
          </w:divBdr>
        </w:div>
        <w:div w:id="509413876">
          <w:marLeft w:val="547"/>
          <w:marRight w:val="0"/>
          <w:marTop w:val="0"/>
          <w:marBottom w:val="0"/>
          <w:divBdr>
            <w:top w:val="none" w:sz="0" w:space="0" w:color="auto"/>
            <w:left w:val="none" w:sz="0" w:space="0" w:color="auto"/>
            <w:bottom w:val="none" w:sz="0" w:space="0" w:color="auto"/>
            <w:right w:val="none" w:sz="0" w:space="0" w:color="auto"/>
          </w:divBdr>
        </w:div>
        <w:div w:id="301009297">
          <w:marLeft w:val="547"/>
          <w:marRight w:val="0"/>
          <w:marTop w:val="0"/>
          <w:marBottom w:val="0"/>
          <w:divBdr>
            <w:top w:val="none" w:sz="0" w:space="0" w:color="auto"/>
            <w:left w:val="none" w:sz="0" w:space="0" w:color="auto"/>
            <w:bottom w:val="none" w:sz="0" w:space="0" w:color="auto"/>
            <w:right w:val="none" w:sz="0" w:space="0" w:color="auto"/>
          </w:divBdr>
        </w:div>
        <w:div w:id="907766026">
          <w:marLeft w:val="547"/>
          <w:marRight w:val="0"/>
          <w:marTop w:val="0"/>
          <w:marBottom w:val="0"/>
          <w:divBdr>
            <w:top w:val="none" w:sz="0" w:space="0" w:color="auto"/>
            <w:left w:val="none" w:sz="0" w:space="0" w:color="auto"/>
            <w:bottom w:val="none" w:sz="0" w:space="0" w:color="auto"/>
            <w:right w:val="none" w:sz="0" w:space="0" w:color="auto"/>
          </w:divBdr>
        </w:div>
        <w:div w:id="1897005683">
          <w:marLeft w:val="547"/>
          <w:marRight w:val="0"/>
          <w:marTop w:val="0"/>
          <w:marBottom w:val="0"/>
          <w:divBdr>
            <w:top w:val="none" w:sz="0" w:space="0" w:color="auto"/>
            <w:left w:val="none" w:sz="0" w:space="0" w:color="auto"/>
            <w:bottom w:val="none" w:sz="0" w:space="0" w:color="auto"/>
            <w:right w:val="none" w:sz="0" w:space="0" w:color="auto"/>
          </w:divBdr>
        </w:div>
        <w:div w:id="1903326111">
          <w:marLeft w:val="547"/>
          <w:marRight w:val="0"/>
          <w:marTop w:val="0"/>
          <w:marBottom w:val="0"/>
          <w:divBdr>
            <w:top w:val="none" w:sz="0" w:space="0" w:color="auto"/>
            <w:left w:val="none" w:sz="0" w:space="0" w:color="auto"/>
            <w:bottom w:val="none" w:sz="0" w:space="0" w:color="auto"/>
            <w:right w:val="none" w:sz="0" w:space="0" w:color="auto"/>
          </w:divBdr>
        </w:div>
        <w:div w:id="1659722797">
          <w:marLeft w:val="547"/>
          <w:marRight w:val="0"/>
          <w:marTop w:val="0"/>
          <w:marBottom w:val="0"/>
          <w:divBdr>
            <w:top w:val="none" w:sz="0" w:space="0" w:color="auto"/>
            <w:left w:val="none" w:sz="0" w:space="0" w:color="auto"/>
            <w:bottom w:val="none" w:sz="0" w:space="0" w:color="auto"/>
            <w:right w:val="none" w:sz="0" w:space="0" w:color="auto"/>
          </w:divBdr>
        </w:div>
        <w:div w:id="1216504934">
          <w:marLeft w:val="547"/>
          <w:marRight w:val="0"/>
          <w:marTop w:val="0"/>
          <w:marBottom w:val="0"/>
          <w:divBdr>
            <w:top w:val="none" w:sz="0" w:space="0" w:color="auto"/>
            <w:left w:val="none" w:sz="0" w:space="0" w:color="auto"/>
            <w:bottom w:val="none" w:sz="0" w:space="0" w:color="auto"/>
            <w:right w:val="none" w:sz="0" w:space="0" w:color="auto"/>
          </w:divBdr>
        </w:div>
        <w:div w:id="725301621">
          <w:marLeft w:val="547"/>
          <w:marRight w:val="0"/>
          <w:marTop w:val="0"/>
          <w:marBottom w:val="0"/>
          <w:divBdr>
            <w:top w:val="none" w:sz="0" w:space="0" w:color="auto"/>
            <w:left w:val="none" w:sz="0" w:space="0" w:color="auto"/>
            <w:bottom w:val="none" w:sz="0" w:space="0" w:color="auto"/>
            <w:right w:val="none" w:sz="0" w:space="0" w:color="auto"/>
          </w:divBdr>
        </w:div>
        <w:div w:id="203300024">
          <w:marLeft w:val="547"/>
          <w:marRight w:val="0"/>
          <w:marTop w:val="0"/>
          <w:marBottom w:val="0"/>
          <w:divBdr>
            <w:top w:val="none" w:sz="0" w:space="0" w:color="auto"/>
            <w:left w:val="none" w:sz="0" w:space="0" w:color="auto"/>
            <w:bottom w:val="none" w:sz="0" w:space="0" w:color="auto"/>
            <w:right w:val="none" w:sz="0" w:space="0" w:color="auto"/>
          </w:divBdr>
        </w:div>
        <w:div w:id="2123063815">
          <w:marLeft w:val="547"/>
          <w:marRight w:val="0"/>
          <w:marTop w:val="0"/>
          <w:marBottom w:val="0"/>
          <w:divBdr>
            <w:top w:val="none" w:sz="0" w:space="0" w:color="auto"/>
            <w:left w:val="none" w:sz="0" w:space="0" w:color="auto"/>
            <w:bottom w:val="none" w:sz="0" w:space="0" w:color="auto"/>
            <w:right w:val="none" w:sz="0" w:space="0" w:color="auto"/>
          </w:divBdr>
        </w:div>
        <w:div w:id="896673329">
          <w:marLeft w:val="547"/>
          <w:marRight w:val="0"/>
          <w:marTop w:val="0"/>
          <w:marBottom w:val="0"/>
          <w:divBdr>
            <w:top w:val="none" w:sz="0" w:space="0" w:color="auto"/>
            <w:left w:val="none" w:sz="0" w:space="0" w:color="auto"/>
            <w:bottom w:val="none" w:sz="0" w:space="0" w:color="auto"/>
            <w:right w:val="none" w:sz="0" w:space="0" w:color="auto"/>
          </w:divBdr>
        </w:div>
        <w:div w:id="1265961741">
          <w:marLeft w:val="547"/>
          <w:marRight w:val="0"/>
          <w:marTop w:val="0"/>
          <w:marBottom w:val="0"/>
          <w:divBdr>
            <w:top w:val="none" w:sz="0" w:space="0" w:color="auto"/>
            <w:left w:val="none" w:sz="0" w:space="0" w:color="auto"/>
            <w:bottom w:val="none" w:sz="0" w:space="0" w:color="auto"/>
            <w:right w:val="none" w:sz="0" w:space="0" w:color="auto"/>
          </w:divBdr>
        </w:div>
        <w:div w:id="1051878491">
          <w:marLeft w:val="547"/>
          <w:marRight w:val="0"/>
          <w:marTop w:val="0"/>
          <w:marBottom w:val="0"/>
          <w:divBdr>
            <w:top w:val="none" w:sz="0" w:space="0" w:color="auto"/>
            <w:left w:val="none" w:sz="0" w:space="0" w:color="auto"/>
            <w:bottom w:val="none" w:sz="0" w:space="0" w:color="auto"/>
            <w:right w:val="none" w:sz="0" w:space="0" w:color="auto"/>
          </w:divBdr>
        </w:div>
        <w:div w:id="1914193428">
          <w:marLeft w:val="547"/>
          <w:marRight w:val="0"/>
          <w:marTop w:val="0"/>
          <w:marBottom w:val="0"/>
          <w:divBdr>
            <w:top w:val="none" w:sz="0" w:space="0" w:color="auto"/>
            <w:left w:val="none" w:sz="0" w:space="0" w:color="auto"/>
            <w:bottom w:val="none" w:sz="0" w:space="0" w:color="auto"/>
            <w:right w:val="none" w:sz="0" w:space="0" w:color="auto"/>
          </w:divBdr>
        </w:div>
        <w:div w:id="300698626">
          <w:marLeft w:val="547"/>
          <w:marRight w:val="0"/>
          <w:marTop w:val="0"/>
          <w:marBottom w:val="0"/>
          <w:divBdr>
            <w:top w:val="none" w:sz="0" w:space="0" w:color="auto"/>
            <w:left w:val="none" w:sz="0" w:space="0" w:color="auto"/>
            <w:bottom w:val="none" w:sz="0" w:space="0" w:color="auto"/>
            <w:right w:val="none" w:sz="0" w:space="0" w:color="auto"/>
          </w:divBdr>
        </w:div>
      </w:divsChild>
    </w:div>
    <w:div w:id="311252313">
      <w:bodyDiv w:val="1"/>
      <w:marLeft w:val="0"/>
      <w:marRight w:val="0"/>
      <w:marTop w:val="0"/>
      <w:marBottom w:val="0"/>
      <w:divBdr>
        <w:top w:val="none" w:sz="0" w:space="0" w:color="auto"/>
        <w:left w:val="none" w:sz="0" w:space="0" w:color="auto"/>
        <w:bottom w:val="none" w:sz="0" w:space="0" w:color="auto"/>
        <w:right w:val="none" w:sz="0" w:space="0" w:color="auto"/>
      </w:divBdr>
    </w:div>
    <w:div w:id="366176282">
      <w:bodyDiv w:val="1"/>
      <w:marLeft w:val="0"/>
      <w:marRight w:val="0"/>
      <w:marTop w:val="0"/>
      <w:marBottom w:val="0"/>
      <w:divBdr>
        <w:top w:val="none" w:sz="0" w:space="0" w:color="auto"/>
        <w:left w:val="none" w:sz="0" w:space="0" w:color="auto"/>
        <w:bottom w:val="none" w:sz="0" w:space="0" w:color="auto"/>
        <w:right w:val="none" w:sz="0" w:space="0" w:color="auto"/>
      </w:divBdr>
    </w:div>
    <w:div w:id="576869092">
      <w:bodyDiv w:val="1"/>
      <w:marLeft w:val="0"/>
      <w:marRight w:val="0"/>
      <w:marTop w:val="0"/>
      <w:marBottom w:val="0"/>
      <w:divBdr>
        <w:top w:val="none" w:sz="0" w:space="0" w:color="auto"/>
        <w:left w:val="none" w:sz="0" w:space="0" w:color="auto"/>
        <w:bottom w:val="none" w:sz="0" w:space="0" w:color="auto"/>
        <w:right w:val="none" w:sz="0" w:space="0" w:color="auto"/>
      </w:divBdr>
    </w:div>
    <w:div w:id="617220502">
      <w:bodyDiv w:val="1"/>
      <w:marLeft w:val="0"/>
      <w:marRight w:val="0"/>
      <w:marTop w:val="0"/>
      <w:marBottom w:val="0"/>
      <w:divBdr>
        <w:top w:val="none" w:sz="0" w:space="0" w:color="auto"/>
        <w:left w:val="none" w:sz="0" w:space="0" w:color="auto"/>
        <w:bottom w:val="none" w:sz="0" w:space="0" w:color="auto"/>
        <w:right w:val="none" w:sz="0" w:space="0" w:color="auto"/>
      </w:divBdr>
    </w:div>
    <w:div w:id="973561181">
      <w:bodyDiv w:val="1"/>
      <w:marLeft w:val="0"/>
      <w:marRight w:val="0"/>
      <w:marTop w:val="0"/>
      <w:marBottom w:val="0"/>
      <w:divBdr>
        <w:top w:val="none" w:sz="0" w:space="0" w:color="auto"/>
        <w:left w:val="none" w:sz="0" w:space="0" w:color="auto"/>
        <w:bottom w:val="none" w:sz="0" w:space="0" w:color="auto"/>
        <w:right w:val="none" w:sz="0" w:space="0" w:color="auto"/>
      </w:divBdr>
      <w:divsChild>
        <w:div w:id="28653059">
          <w:marLeft w:val="547"/>
          <w:marRight w:val="0"/>
          <w:marTop w:val="0"/>
          <w:marBottom w:val="0"/>
          <w:divBdr>
            <w:top w:val="none" w:sz="0" w:space="0" w:color="auto"/>
            <w:left w:val="none" w:sz="0" w:space="0" w:color="auto"/>
            <w:bottom w:val="none" w:sz="0" w:space="0" w:color="auto"/>
            <w:right w:val="none" w:sz="0" w:space="0" w:color="auto"/>
          </w:divBdr>
        </w:div>
        <w:div w:id="988560386">
          <w:marLeft w:val="547"/>
          <w:marRight w:val="0"/>
          <w:marTop w:val="0"/>
          <w:marBottom w:val="0"/>
          <w:divBdr>
            <w:top w:val="none" w:sz="0" w:space="0" w:color="auto"/>
            <w:left w:val="none" w:sz="0" w:space="0" w:color="auto"/>
            <w:bottom w:val="none" w:sz="0" w:space="0" w:color="auto"/>
            <w:right w:val="none" w:sz="0" w:space="0" w:color="auto"/>
          </w:divBdr>
        </w:div>
        <w:div w:id="1026374236">
          <w:marLeft w:val="547"/>
          <w:marRight w:val="0"/>
          <w:marTop w:val="0"/>
          <w:marBottom w:val="0"/>
          <w:divBdr>
            <w:top w:val="none" w:sz="0" w:space="0" w:color="auto"/>
            <w:left w:val="none" w:sz="0" w:space="0" w:color="auto"/>
            <w:bottom w:val="none" w:sz="0" w:space="0" w:color="auto"/>
            <w:right w:val="none" w:sz="0" w:space="0" w:color="auto"/>
          </w:divBdr>
        </w:div>
        <w:div w:id="1237518257">
          <w:marLeft w:val="547"/>
          <w:marRight w:val="0"/>
          <w:marTop w:val="0"/>
          <w:marBottom w:val="0"/>
          <w:divBdr>
            <w:top w:val="none" w:sz="0" w:space="0" w:color="auto"/>
            <w:left w:val="none" w:sz="0" w:space="0" w:color="auto"/>
            <w:bottom w:val="none" w:sz="0" w:space="0" w:color="auto"/>
            <w:right w:val="none" w:sz="0" w:space="0" w:color="auto"/>
          </w:divBdr>
        </w:div>
        <w:div w:id="1299997661">
          <w:marLeft w:val="547"/>
          <w:marRight w:val="0"/>
          <w:marTop w:val="0"/>
          <w:marBottom w:val="0"/>
          <w:divBdr>
            <w:top w:val="none" w:sz="0" w:space="0" w:color="auto"/>
            <w:left w:val="none" w:sz="0" w:space="0" w:color="auto"/>
            <w:bottom w:val="none" w:sz="0" w:space="0" w:color="auto"/>
            <w:right w:val="none" w:sz="0" w:space="0" w:color="auto"/>
          </w:divBdr>
        </w:div>
        <w:div w:id="575362374">
          <w:marLeft w:val="547"/>
          <w:marRight w:val="0"/>
          <w:marTop w:val="0"/>
          <w:marBottom w:val="0"/>
          <w:divBdr>
            <w:top w:val="none" w:sz="0" w:space="0" w:color="auto"/>
            <w:left w:val="none" w:sz="0" w:space="0" w:color="auto"/>
            <w:bottom w:val="none" w:sz="0" w:space="0" w:color="auto"/>
            <w:right w:val="none" w:sz="0" w:space="0" w:color="auto"/>
          </w:divBdr>
        </w:div>
        <w:div w:id="1834956243">
          <w:marLeft w:val="547"/>
          <w:marRight w:val="0"/>
          <w:marTop w:val="0"/>
          <w:marBottom w:val="0"/>
          <w:divBdr>
            <w:top w:val="none" w:sz="0" w:space="0" w:color="auto"/>
            <w:left w:val="none" w:sz="0" w:space="0" w:color="auto"/>
            <w:bottom w:val="none" w:sz="0" w:space="0" w:color="auto"/>
            <w:right w:val="none" w:sz="0" w:space="0" w:color="auto"/>
          </w:divBdr>
        </w:div>
        <w:div w:id="1831602298">
          <w:marLeft w:val="547"/>
          <w:marRight w:val="0"/>
          <w:marTop w:val="0"/>
          <w:marBottom w:val="0"/>
          <w:divBdr>
            <w:top w:val="none" w:sz="0" w:space="0" w:color="auto"/>
            <w:left w:val="none" w:sz="0" w:space="0" w:color="auto"/>
            <w:bottom w:val="none" w:sz="0" w:space="0" w:color="auto"/>
            <w:right w:val="none" w:sz="0" w:space="0" w:color="auto"/>
          </w:divBdr>
        </w:div>
        <w:div w:id="15347510">
          <w:marLeft w:val="547"/>
          <w:marRight w:val="0"/>
          <w:marTop w:val="0"/>
          <w:marBottom w:val="0"/>
          <w:divBdr>
            <w:top w:val="none" w:sz="0" w:space="0" w:color="auto"/>
            <w:left w:val="none" w:sz="0" w:space="0" w:color="auto"/>
            <w:bottom w:val="none" w:sz="0" w:space="0" w:color="auto"/>
            <w:right w:val="none" w:sz="0" w:space="0" w:color="auto"/>
          </w:divBdr>
        </w:div>
        <w:div w:id="824201439">
          <w:marLeft w:val="547"/>
          <w:marRight w:val="0"/>
          <w:marTop w:val="0"/>
          <w:marBottom w:val="0"/>
          <w:divBdr>
            <w:top w:val="none" w:sz="0" w:space="0" w:color="auto"/>
            <w:left w:val="none" w:sz="0" w:space="0" w:color="auto"/>
            <w:bottom w:val="none" w:sz="0" w:space="0" w:color="auto"/>
            <w:right w:val="none" w:sz="0" w:space="0" w:color="auto"/>
          </w:divBdr>
        </w:div>
        <w:div w:id="194003794">
          <w:marLeft w:val="547"/>
          <w:marRight w:val="0"/>
          <w:marTop w:val="0"/>
          <w:marBottom w:val="0"/>
          <w:divBdr>
            <w:top w:val="none" w:sz="0" w:space="0" w:color="auto"/>
            <w:left w:val="none" w:sz="0" w:space="0" w:color="auto"/>
            <w:bottom w:val="none" w:sz="0" w:space="0" w:color="auto"/>
            <w:right w:val="none" w:sz="0" w:space="0" w:color="auto"/>
          </w:divBdr>
        </w:div>
        <w:div w:id="6248673">
          <w:marLeft w:val="547"/>
          <w:marRight w:val="0"/>
          <w:marTop w:val="0"/>
          <w:marBottom w:val="0"/>
          <w:divBdr>
            <w:top w:val="none" w:sz="0" w:space="0" w:color="auto"/>
            <w:left w:val="none" w:sz="0" w:space="0" w:color="auto"/>
            <w:bottom w:val="none" w:sz="0" w:space="0" w:color="auto"/>
            <w:right w:val="none" w:sz="0" w:space="0" w:color="auto"/>
          </w:divBdr>
        </w:div>
        <w:div w:id="1605728062">
          <w:marLeft w:val="547"/>
          <w:marRight w:val="0"/>
          <w:marTop w:val="0"/>
          <w:marBottom w:val="0"/>
          <w:divBdr>
            <w:top w:val="none" w:sz="0" w:space="0" w:color="auto"/>
            <w:left w:val="none" w:sz="0" w:space="0" w:color="auto"/>
            <w:bottom w:val="none" w:sz="0" w:space="0" w:color="auto"/>
            <w:right w:val="none" w:sz="0" w:space="0" w:color="auto"/>
          </w:divBdr>
        </w:div>
      </w:divsChild>
    </w:div>
    <w:div w:id="1017344015">
      <w:bodyDiv w:val="1"/>
      <w:marLeft w:val="0"/>
      <w:marRight w:val="0"/>
      <w:marTop w:val="0"/>
      <w:marBottom w:val="0"/>
      <w:divBdr>
        <w:top w:val="none" w:sz="0" w:space="0" w:color="auto"/>
        <w:left w:val="none" w:sz="0" w:space="0" w:color="auto"/>
        <w:bottom w:val="none" w:sz="0" w:space="0" w:color="auto"/>
        <w:right w:val="none" w:sz="0" w:space="0" w:color="auto"/>
      </w:divBdr>
      <w:divsChild>
        <w:div w:id="874124848">
          <w:marLeft w:val="0"/>
          <w:marRight w:val="300"/>
          <w:marTop w:val="0"/>
          <w:marBottom w:val="0"/>
          <w:divBdr>
            <w:top w:val="none" w:sz="0" w:space="0" w:color="auto"/>
            <w:left w:val="none" w:sz="0" w:space="0" w:color="auto"/>
            <w:bottom w:val="none" w:sz="0" w:space="0" w:color="auto"/>
            <w:right w:val="none" w:sz="0" w:space="0" w:color="auto"/>
          </w:divBdr>
          <w:divsChild>
            <w:div w:id="2056082582">
              <w:marLeft w:val="0"/>
              <w:marRight w:val="0"/>
              <w:marTop w:val="0"/>
              <w:marBottom w:val="300"/>
              <w:divBdr>
                <w:top w:val="none" w:sz="0" w:space="0" w:color="auto"/>
                <w:left w:val="none" w:sz="0" w:space="0" w:color="auto"/>
                <w:bottom w:val="none" w:sz="0" w:space="0" w:color="auto"/>
                <w:right w:val="none" w:sz="0" w:space="0" w:color="auto"/>
              </w:divBdr>
            </w:div>
            <w:div w:id="2750628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9276192">
      <w:bodyDiv w:val="1"/>
      <w:marLeft w:val="0"/>
      <w:marRight w:val="0"/>
      <w:marTop w:val="0"/>
      <w:marBottom w:val="0"/>
      <w:divBdr>
        <w:top w:val="none" w:sz="0" w:space="0" w:color="auto"/>
        <w:left w:val="none" w:sz="0" w:space="0" w:color="auto"/>
        <w:bottom w:val="none" w:sz="0" w:space="0" w:color="auto"/>
        <w:right w:val="none" w:sz="0" w:space="0" w:color="auto"/>
      </w:divBdr>
    </w:div>
    <w:div w:id="1251429616">
      <w:bodyDiv w:val="1"/>
      <w:marLeft w:val="0"/>
      <w:marRight w:val="0"/>
      <w:marTop w:val="0"/>
      <w:marBottom w:val="0"/>
      <w:divBdr>
        <w:top w:val="none" w:sz="0" w:space="0" w:color="auto"/>
        <w:left w:val="none" w:sz="0" w:space="0" w:color="auto"/>
        <w:bottom w:val="none" w:sz="0" w:space="0" w:color="auto"/>
        <w:right w:val="none" w:sz="0" w:space="0" w:color="auto"/>
      </w:divBdr>
    </w:div>
    <w:div w:id="1317343567">
      <w:bodyDiv w:val="1"/>
      <w:marLeft w:val="0"/>
      <w:marRight w:val="0"/>
      <w:marTop w:val="0"/>
      <w:marBottom w:val="0"/>
      <w:divBdr>
        <w:top w:val="none" w:sz="0" w:space="0" w:color="auto"/>
        <w:left w:val="none" w:sz="0" w:space="0" w:color="auto"/>
        <w:bottom w:val="none" w:sz="0" w:space="0" w:color="auto"/>
        <w:right w:val="none" w:sz="0" w:space="0" w:color="auto"/>
      </w:divBdr>
    </w:div>
    <w:div w:id="134324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uploads/system/uploads/attachment_data/file/229400/121115_Enterprise_Zones_map.pdf" TargetMode="External"/><Relationship Id="rId18" Type="http://schemas.openxmlformats.org/officeDocument/2006/relationships/image" Target="media/image3.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google.com/maps/d/viewer?mid=1vrNX4wJw5bBiMRzFUpv54KsaKWA&amp;ll=52.88902459716784%2C-1.4105600999999979&amp;z=7)" TargetMode="Externa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heguardian.com/graphic/0,,2002043,00.html)" TargetMode="External"/><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re.org.uk/what-we-do/housing-and-planning/green-belt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c.europa.eu/transport/infrastructure/tentec/tentec-portal/site/maps_upload/corridors_png/C8_northsea_med.pdf" TargetMode="External"/><Relationship Id="rId23" Type="http://schemas.openxmlformats.org/officeDocument/2006/relationships/image" Target="media/image8.tiff"/><Relationship Id="rId10" Type="http://schemas.openxmlformats.org/officeDocument/2006/relationships/hyperlink" Target="http://maps.environment-agency.gov.uk/wiyby/wiybyController?topic=fwa&amp;layerGroups=default&amp;lang=_e&amp;ep=map&amp;scale=2&amp;x=534555.9375&amp;y=179542.08333333334" TargetMode="Externa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ea.europa.eu/data-and-maps/figures/distribution-of-natura-2000-sites-across-eu-member-states-1" TargetMode="External"/><Relationship Id="rId22"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www.publications.parliament.uk/pa/cm201012/cmselect/cmcomloc/1526/1526.pdf" TargetMode="External"/><Relationship Id="rId2" Type="http://schemas.openxmlformats.org/officeDocument/2006/relationships/hyperlink" Target="https://www.gov.uk/government/organisations/national-infrastructure-commission" TargetMode="External"/><Relationship Id="rId1" Type="http://schemas.openxmlformats.org/officeDocument/2006/relationships/hyperlink" Target="https://www.gov.uk/government/speeches/the-importance-of-industrial-strateg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localhost\Users\kelvinmacdonald\Downloads\PSS_2016_Chapter_9_Tables_w_correction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aseline="0"/>
              <a:t>Expenditure per head in real terms by Region/Nation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'[PSS_2016_Chapter_9_Tables_w_corrections.xlsx]9.4'!$B$4</c:f>
              <c:strCache>
                <c:ptCount val="1"/>
                <c:pt idx="0">
                  <c:v>2010-11_x000d_outturn</c:v>
                </c:pt>
              </c:strCache>
            </c:strRef>
          </c:tx>
          <c:spPr>
            <a:solidFill>
              <a:schemeClr val="accent1"/>
            </a:solidFill>
            <a:ln>
              <a:noFill/>
            </a:ln>
            <a:effectLst/>
          </c:spPr>
          <c:invertIfNegative val="0"/>
          <c:cat>
            <c:strRef>
              <c:f>'[PSS_2016_Chapter_9_Tables_w_corrections.xlsx]9.4'!$A$5:$A$17</c:f>
              <c:strCache>
                <c:ptCount val="13"/>
                <c:pt idx="0">
                  <c:v>North East</c:v>
                </c:pt>
                <c:pt idx="1">
                  <c:v>North West</c:v>
                </c:pt>
                <c:pt idx="2">
                  <c:v>Yorkshire and the Humber</c:v>
                </c:pt>
                <c:pt idx="3">
                  <c:v>East Midlands</c:v>
                </c:pt>
                <c:pt idx="4">
                  <c:v>West Midlands</c:v>
                </c:pt>
                <c:pt idx="5">
                  <c:v>East</c:v>
                </c:pt>
                <c:pt idx="6">
                  <c:v>London</c:v>
                </c:pt>
                <c:pt idx="7">
                  <c:v>South East</c:v>
                </c:pt>
                <c:pt idx="8">
                  <c:v>South West</c:v>
                </c:pt>
                <c:pt idx="9">
                  <c:v>England</c:v>
                </c:pt>
                <c:pt idx="10">
                  <c:v>Scotland</c:v>
                </c:pt>
                <c:pt idx="11">
                  <c:v>Wales</c:v>
                </c:pt>
                <c:pt idx="12">
                  <c:v>Northern Ireland</c:v>
                </c:pt>
              </c:strCache>
            </c:strRef>
          </c:cat>
          <c:val>
            <c:numRef>
              <c:f>'[PSS_2016_Chapter_9_Tables_w_corrections.xlsx]9.4'!$B$5:$B$17</c:f>
              <c:numCache>
                <c:formatCode>#,##0</c:formatCode>
                <c:ptCount val="13"/>
                <c:pt idx="0">
                  <c:v>9979</c:v>
                </c:pt>
                <c:pt idx="1">
                  <c:v>9705</c:v>
                </c:pt>
                <c:pt idx="2">
                  <c:v>9005</c:v>
                </c:pt>
                <c:pt idx="3">
                  <c:v>8434</c:v>
                </c:pt>
                <c:pt idx="4">
                  <c:v>9001</c:v>
                </c:pt>
                <c:pt idx="5">
                  <c:v>8347</c:v>
                </c:pt>
                <c:pt idx="6">
                  <c:v>10921</c:v>
                </c:pt>
                <c:pt idx="7">
                  <c:v>8106</c:v>
                </c:pt>
                <c:pt idx="8">
                  <c:v>8451</c:v>
                </c:pt>
                <c:pt idx="9">
                  <c:v>9116</c:v>
                </c:pt>
                <c:pt idx="10">
                  <c:v>10641</c:v>
                </c:pt>
                <c:pt idx="11">
                  <c:v>10284</c:v>
                </c:pt>
                <c:pt idx="12">
                  <c:v>11332</c:v>
                </c:pt>
              </c:numCache>
            </c:numRef>
          </c:val>
          <c:extLst>
            <c:ext xmlns:c16="http://schemas.microsoft.com/office/drawing/2014/chart" uri="{C3380CC4-5D6E-409C-BE32-E72D297353CC}">
              <c16:uniqueId val="{00000000-45F2-47F8-B834-18791E5F5F6A}"/>
            </c:ext>
          </c:extLst>
        </c:ser>
        <c:ser>
          <c:idx val="1"/>
          <c:order val="1"/>
          <c:tx>
            <c:strRef>
              <c:f>'[PSS_2016_Chapter_9_Tables_w_corrections.xlsx]9.4'!$C$4</c:f>
              <c:strCache>
                <c:ptCount val="1"/>
                <c:pt idx="0">
                  <c:v>2011-12_x000d_outturn</c:v>
                </c:pt>
              </c:strCache>
            </c:strRef>
          </c:tx>
          <c:spPr>
            <a:solidFill>
              <a:schemeClr val="accent2"/>
            </a:solidFill>
            <a:ln>
              <a:noFill/>
            </a:ln>
            <a:effectLst/>
          </c:spPr>
          <c:invertIfNegative val="0"/>
          <c:cat>
            <c:strRef>
              <c:f>'[PSS_2016_Chapter_9_Tables_w_corrections.xlsx]9.4'!$A$5:$A$17</c:f>
              <c:strCache>
                <c:ptCount val="13"/>
                <c:pt idx="0">
                  <c:v>North East</c:v>
                </c:pt>
                <c:pt idx="1">
                  <c:v>North West</c:v>
                </c:pt>
                <c:pt idx="2">
                  <c:v>Yorkshire and the Humber</c:v>
                </c:pt>
                <c:pt idx="3">
                  <c:v>East Midlands</c:v>
                </c:pt>
                <c:pt idx="4">
                  <c:v>West Midlands</c:v>
                </c:pt>
                <c:pt idx="5">
                  <c:v>East</c:v>
                </c:pt>
                <c:pt idx="6">
                  <c:v>London</c:v>
                </c:pt>
                <c:pt idx="7">
                  <c:v>South East</c:v>
                </c:pt>
                <c:pt idx="8">
                  <c:v>South West</c:v>
                </c:pt>
                <c:pt idx="9">
                  <c:v>England</c:v>
                </c:pt>
                <c:pt idx="10">
                  <c:v>Scotland</c:v>
                </c:pt>
                <c:pt idx="11">
                  <c:v>Wales</c:v>
                </c:pt>
                <c:pt idx="12">
                  <c:v>Northern Ireland</c:v>
                </c:pt>
              </c:strCache>
            </c:strRef>
          </c:cat>
          <c:val>
            <c:numRef>
              <c:f>'[PSS_2016_Chapter_9_Tables_w_corrections.xlsx]9.4'!$C$5:$C$17</c:f>
              <c:numCache>
                <c:formatCode>#,##0</c:formatCode>
                <c:ptCount val="13"/>
                <c:pt idx="0">
                  <c:v>9690</c:v>
                </c:pt>
                <c:pt idx="1">
                  <c:v>9407</c:v>
                </c:pt>
                <c:pt idx="2">
                  <c:v>8850</c:v>
                </c:pt>
                <c:pt idx="3">
                  <c:v>8244</c:v>
                </c:pt>
                <c:pt idx="4">
                  <c:v>8817</c:v>
                </c:pt>
                <c:pt idx="5">
                  <c:v>7993</c:v>
                </c:pt>
                <c:pt idx="6">
                  <c:v>10460</c:v>
                </c:pt>
                <c:pt idx="7">
                  <c:v>7804</c:v>
                </c:pt>
                <c:pt idx="8">
                  <c:v>8330</c:v>
                </c:pt>
                <c:pt idx="9">
                  <c:v>8842</c:v>
                </c:pt>
                <c:pt idx="10">
                  <c:v>10501</c:v>
                </c:pt>
                <c:pt idx="11">
                  <c:v>10223</c:v>
                </c:pt>
                <c:pt idx="12">
                  <c:v>11264</c:v>
                </c:pt>
              </c:numCache>
            </c:numRef>
          </c:val>
          <c:extLst>
            <c:ext xmlns:c16="http://schemas.microsoft.com/office/drawing/2014/chart" uri="{C3380CC4-5D6E-409C-BE32-E72D297353CC}">
              <c16:uniqueId val="{00000001-45F2-47F8-B834-18791E5F5F6A}"/>
            </c:ext>
          </c:extLst>
        </c:ser>
        <c:ser>
          <c:idx val="2"/>
          <c:order val="2"/>
          <c:tx>
            <c:strRef>
              <c:f>'[PSS_2016_Chapter_9_Tables_w_corrections.xlsx]9.4'!$D$4</c:f>
              <c:strCache>
                <c:ptCount val="1"/>
                <c:pt idx="0">
                  <c:v>2012-13_x000d_outturn</c:v>
                </c:pt>
              </c:strCache>
            </c:strRef>
          </c:tx>
          <c:spPr>
            <a:solidFill>
              <a:schemeClr val="accent3"/>
            </a:solidFill>
            <a:ln>
              <a:noFill/>
            </a:ln>
            <a:effectLst/>
          </c:spPr>
          <c:invertIfNegative val="0"/>
          <c:cat>
            <c:strRef>
              <c:f>'[PSS_2016_Chapter_9_Tables_w_corrections.xlsx]9.4'!$A$5:$A$17</c:f>
              <c:strCache>
                <c:ptCount val="13"/>
                <c:pt idx="0">
                  <c:v>North East</c:v>
                </c:pt>
                <c:pt idx="1">
                  <c:v>North West</c:v>
                </c:pt>
                <c:pt idx="2">
                  <c:v>Yorkshire and the Humber</c:v>
                </c:pt>
                <c:pt idx="3">
                  <c:v>East Midlands</c:v>
                </c:pt>
                <c:pt idx="4">
                  <c:v>West Midlands</c:v>
                </c:pt>
                <c:pt idx="5">
                  <c:v>East</c:v>
                </c:pt>
                <c:pt idx="6">
                  <c:v>London</c:v>
                </c:pt>
                <c:pt idx="7">
                  <c:v>South East</c:v>
                </c:pt>
                <c:pt idx="8">
                  <c:v>South West</c:v>
                </c:pt>
                <c:pt idx="9">
                  <c:v>England</c:v>
                </c:pt>
                <c:pt idx="10">
                  <c:v>Scotland</c:v>
                </c:pt>
                <c:pt idx="11">
                  <c:v>Wales</c:v>
                </c:pt>
                <c:pt idx="12">
                  <c:v>Northern Ireland</c:v>
                </c:pt>
              </c:strCache>
            </c:strRef>
          </c:cat>
          <c:val>
            <c:numRef>
              <c:f>'[PSS_2016_Chapter_9_Tables_w_corrections.xlsx]9.4'!$D$5:$D$17</c:f>
              <c:numCache>
                <c:formatCode>#,##0</c:formatCode>
                <c:ptCount val="13"/>
                <c:pt idx="0">
                  <c:v>9578</c:v>
                </c:pt>
                <c:pt idx="1">
                  <c:v>9408</c:v>
                </c:pt>
                <c:pt idx="2">
                  <c:v>8755</c:v>
                </c:pt>
                <c:pt idx="3">
                  <c:v>8229</c:v>
                </c:pt>
                <c:pt idx="4">
                  <c:v>8748</c:v>
                </c:pt>
                <c:pt idx="5">
                  <c:v>7923</c:v>
                </c:pt>
                <c:pt idx="6">
                  <c:v>10116</c:v>
                </c:pt>
                <c:pt idx="7">
                  <c:v>7805</c:v>
                </c:pt>
                <c:pt idx="8">
                  <c:v>8301</c:v>
                </c:pt>
                <c:pt idx="9">
                  <c:v>8755</c:v>
                </c:pt>
                <c:pt idx="10">
                  <c:v>10535</c:v>
                </c:pt>
                <c:pt idx="11">
                  <c:v>9949</c:v>
                </c:pt>
                <c:pt idx="12">
                  <c:v>11223</c:v>
                </c:pt>
              </c:numCache>
            </c:numRef>
          </c:val>
          <c:extLst>
            <c:ext xmlns:c16="http://schemas.microsoft.com/office/drawing/2014/chart" uri="{C3380CC4-5D6E-409C-BE32-E72D297353CC}">
              <c16:uniqueId val="{00000002-45F2-47F8-B834-18791E5F5F6A}"/>
            </c:ext>
          </c:extLst>
        </c:ser>
        <c:ser>
          <c:idx val="3"/>
          <c:order val="3"/>
          <c:tx>
            <c:strRef>
              <c:f>'[PSS_2016_Chapter_9_Tables_w_corrections.xlsx]9.4'!$E$4</c:f>
              <c:strCache>
                <c:ptCount val="1"/>
                <c:pt idx="0">
                  <c:v>2013-14_x000d_outturn</c:v>
                </c:pt>
              </c:strCache>
            </c:strRef>
          </c:tx>
          <c:spPr>
            <a:solidFill>
              <a:schemeClr val="accent4"/>
            </a:solidFill>
            <a:ln>
              <a:noFill/>
            </a:ln>
            <a:effectLst/>
          </c:spPr>
          <c:invertIfNegative val="0"/>
          <c:cat>
            <c:strRef>
              <c:f>'[PSS_2016_Chapter_9_Tables_w_corrections.xlsx]9.4'!$A$5:$A$17</c:f>
              <c:strCache>
                <c:ptCount val="13"/>
                <c:pt idx="0">
                  <c:v>North East</c:v>
                </c:pt>
                <c:pt idx="1">
                  <c:v>North West</c:v>
                </c:pt>
                <c:pt idx="2">
                  <c:v>Yorkshire and the Humber</c:v>
                </c:pt>
                <c:pt idx="3">
                  <c:v>East Midlands</c:v>
                </c:pt>
                <c:pt idx="4">
                  <c:v>West Midlands</c:v>
                </c:pt>
                <c:pt idx="5">
                  <c:v>East</c:v>
                </c:pt>
                <c:pt idx="6">
                  <c:v>London</c:v>
                </c:pt>
                <c:pt idx="7">
                  <c:v>South East</c:v>
                </c:pt>
                <c:pt idx="8">
                  <c:v>South West</c:v>
                </c:pt>
                <c:pt idx="9">
                  <c:v>England</c:v>
                </c:pt>
                <c:pt idx="10">
                  <c:v>Scotland</c:v>
                </c:pt>
                <c:pt idx="11">
                  <c:v>Wales</c:v>
                </c:pt>
                <c:pt idx="12">
                  <c:v>Northern Ireland</c:v>
                </c:pt>
              </c:strCache>
            </c:strRef>
          </c:cat>
          <c:val>
            <c:numRef>
              <c:f>'[PSS_2016_Chapter_9_Tables_w_corrections.xlsx]9.4'!$E$5:$E$17</c:f>
              <c:numCache>
                <c:formatCode>#,##0</c:formatCode>
                <c:ptCount val="13"/>
                <c:pt idx="0">
                  <c:v>9470</c:v>
                </c:pt>
                <c:pt idx="1">
                  <c:v>9259</c:v>
                </c:pt>
                <c:pt idx="2">
                  <c:v>8648</c:v>
                </c:pt>
                <c:pt idx="3">
                  <c:v>8166</c:v>
                </c:pt>
                <c:pt idx="4">
                  <c:v>8653</c:v>
                </c:pt>
                <c:pt idx="5">
                  <c:v>7945</c:v>
                </c:pt>
                <c:pt idx="6">
                  <c:v>9989</c:v>
                </c:pt>
                <c:pt idx="7">
                  <c:v>7872</c:v>
                </c:pt>
                <c:pt idx="8">
                  <c:v>8352</c:v>
                </c:pt>
                <c:pt idx="9">
                  <c:v>8703</c:v>
                </c:pt>
                <c:pt idx="10">
                  <c:v>10339</c:v>
                </c:pt>
                <c:pt idx="11">
                  <c:v>9900</c:v>
                </c:pt>
                <c:pt idx="12">
                  <c:v>11078</c:v>
                </c:pt>
              </c:numCache>
            </c:numRef>
          </c:val>
          <c:extLst>
            <c:ext xmlns:c16="http://schemas.microsoft.com/office/drawing/2014/chart" uri="{C3380CC4-5D6E-409C-BE32-E72D297353CC}">
              <c16:uniqueId val="{00000003-45F2-47F8-B834-18791E5F5F6A}"/>
            </c:ext>
          </c:extLst>
        </c:ser>
        <c:ser>
          <c:idx val="4"/>
          <c:order val="4"/>
          <c:tx>
            <c:strRef>
              <c:f>'[PSS_2016_Chapter_9_Tables_w_corrections.xlsx]9.4'!$F$4</c:f>
              <c:strCache>
                <c:ptCount val="1"/>
                <c:pt idx="0">
                  <c:v>2014-15_x000d_outturn</c:v>
                </c:pt>
              </c:strCache>
            </c:strRef>
          </c:tx>
          <c:spPr>
            <a:solidFill>
              <a:schemeClr val="accent5"/>
            </a:solidFill>
            <a:ln>
              <a:noFill/>
            </a:ln>
            <a:effectLst/>
          </c:spPr>
          <c:invertIfNegative val="0"/>
          <c:cat>
            <c:strRef>
              <c:f>'[PSS_2016_Chapter_9_Tables_w_corrections.xlsx]9.4'!$A$5:$A$17</c:f>
              <c:strCache>
                <c:ptCount val="13"/>
                <c:pt idx="0">
                  <c:v>North East</c:v>
                </c:pt>
                <c:pt idx="1">
                  <c:v>North West</c:v>
                </c:pt>
                <c:pt idx="2">
                  <c:v>Yorkshire and the Humber</c:v>
                </c:pt>
                <c:pt idx="3">
                  <c:v>East Midlands</c:v>
                </c:pt>
                <c:pt idx="4">
                  <c:v>West Midlands</c:v>
                </c:pt>
                <c:pt idx="5">
                  <c:v>East</c:v>
                </c:pt>
                <c:pt idx="6">
                  <c:v>London</c:v>
                </c:pt>
                <c:pt idx="7">
                  <c:v>South East</c:v>
                </c:pt>
                <c:pt idx="8">
                  <c:v>South West</c:v>
                </c:pt>
                <c:pt idx="9">
                  <c:v>England</c:v>
                </c:pt>
                <c:pt idx="10">
                  <c:v>Scotland</c:v>
                </c:pt>
                <c:pt idx="11">
                  <c:v>Wales</c:v>
                </c:pt>
                <c:pt idx="12">
                  <c:v>Northern Ireland</c:v>
                </c:pt>
              </c:strCache>
            </c:strRef>
          </c:cat>
          <c:val>
            <c:numRef>
              <c:f>'[PSS_2016_Chapter_9_Tables_w_corrections.xlsx]9.4'!$F$5:$F$17</c:f>
              <c:numCache>
                <c:formatCode>#,##0</c:formatCode>
                <c:ptCount val="13"/>
                <c:pt idx="0">
                  <c:v>9355</c:v>
                </c:pt>
                <c:pt idx="1">
                  <c:v>9204</c:v>
                </c:pt>
                <c:pt idx="2">
                  <c:v>8667</c:v>
                </c:pt>
                <c:pt idx="3">
                  <c:v>8165</c:v>
                </c:pt>
                <c:pt idx="4">
                  <c:v>8690</c:v>
                </c:pt>
                <c:pt idx="5">
                  <c:v>7887</c:v>
                </c:pt>
                <c:pt idx="6">
                  <c:v>9848</c:v>
                </c:pt>
                <c:pt idx="7">
                  <c:v>7762</c:v>
                </c:pt>
                <c:pt idx="8">
                  <c:v>8302</c:v>
                </c:pt>
                <c:pt idx="9">
                  <c:v>8645</c:v>
                </c:pt>
                <c:pt idx="10">
                  <c:v>10382</c:v>
                </c:pt>
                <c:pt idx="11">
                  <c:v>9912</c:v>
                </c:pt>
                <c:pt idx="12">
                  <c:v>11115</c:v>
                </c:pt>
              </c:numCache>
            </c:numRef>
          </c:val>
          <c:extLst>
            <c:ext xmlns:c16="http://schemas.microsoft.com/office/drawing/2014/chart" uri="{C3380CC4-5D6E-409C-BE32-E72D297353CC}">
              <c16:uniqueId val="{00000004-45F2-47F8-B834-18791E5F5F6A}"/>
            </c:ext>
          </c:extLst>
        </c:ser>
        <c:dLbls>
          <c:showLegendKey val="0"/>
          <c:showVal val="0"/>
          <c:showCatName val="0"/>
          <c:showSerName val="0"/>
          <c:showPercent val="0"/>
          <c:showBubbleSize val="0"/>
        </c:dLbls>
        <c:gapWidth val="219"/>
        <c:overlap val="-27"/>
        <c:axId val="-399115216"/>
        <c:axId val="-399130304"/>
      </c:barChart>
      <c:catAx>
        <c:axId val="-39911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130304"/>
        <c:crosses val="autoZero"/>
        <c:auto val="1"/>
        <c:lblAlgn val="ctr"/>
        <c:lblOffset val="100"/>
        <c:noMultiLvlLbl val="0"/>
      </c:catAx>
      <c:valAx>
        <c:axId val="-39913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11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EC72C078-4ACE-4CF3-871F-0C1AC1383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1039</Words>
  <Characters>5927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Kelvin</dc:creator>
  <cp:lastModifiedBy>user1</cp:lastModifiedBy>
  <cp:revision>2</cp:revision>
  <cp:lastPrinted>2014-02-18T21:00:00Z</cp:lastPrinted>
  <dcterms:created xsi:type="dcterms:W3CDTF">2016-11-27T12:29:00Z</dcterms:created>
  <dcterms:modified xsi:type="dcterms:W3CDTF">2016-11-27T12:29:00Z</dcterms:modified>
</cp:coreProperties>
</file>